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71" w:rsidRDefault="00851FB1">
      <w:pPr>
        <w:pStyle w:val="Bodytext40"/>
        <w:shd w:val="clear" w:color="auto" w:fill="auto"/>
        <w:spacing w:before="0"/>
        <w:ind w:left="20" w:right="420"/>
      </w:pPr>
      <w:r>
        <w:t>REGULATORNI I SAMOREGULATORNI OKVIRI PROTIV GOVORA MRŽNJE I DEZINFORMACIJA U EVROPSKOJ UNIJI</w:t>
      </w:r>
    </w:p>
    <w:p w:rsidR="00090571" w:rsidRDefault="00090571">
      <w:pPr>
        <w:pStyle w:val="Bodytext50"/>
        <w:shd w:val="clear" w:color="auto" w:fill="auto"/>
        <w:spacing w:after="463" w:line="330" w:lineRule="exact"/>
        <w:ind w:left="20"/>
      </w:pPr>
    </w:p>
    <w:p w:rsidR="00090571" w:rsidRDefault="00851FB1">
      <w:pPr>
        <w:pStyle w:val="Bodytext50"/>
        <w:numPr>
          <w:ilvl w:val="0"/>
          <w:numId w:val="1"/>
        </w:numPr>
        <w:shd w:val="clear" w:color="auto" w:fill="auto"/>
        <w:spacing w:after="463" w:line="330" w:lineRule="exact"/>
      </w:pPr>
      <w:r>
        <w:t xml:space="preserve">PRIMJERI I IZAZOVI – </w:t>
      </w: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pPr>
    </w:p>
    <w:p w:rsidR="00090571" w:rsidRDefault="00090571">
      <w:pPr>
        <w:pStyle w:val="Bodytext50"/>
        <w:shd w:val="clear" w:color="auto" w:fill="auto"/>
        <w:spacing w:after="463" w:line="330" w:lineRule="exact"/>
        <w:jc w:val="both"/>
        <w:rPr>
          <w:sz w:val="20"/>
          <w:szCs w:val="20"/>
        </w:rPr>
      </w:pPr>
    </w:p>
    <w:p w:rsidR="00090571" w:rsidRDefault="00851FB1">
      <w:pPr>
        <w:pStyle w:val="Bodytext50"/>
        <w:shd w:val="clear" w:color="auto" w:fill="auto"/>
        <w:spacing w:after="463" w:line="330" w:lineRule="exact"/>
        <w:jc w:val="both"/>
        <w:rPr>
          <w:sz w:val="20"/>
          <w:szCs w:val="20"/>
        </w:rPr>
      </w:pPr>
      <w:r>
        <w:rPr>
          <w:sz w:val="20"/>
          <w:szCs w:val="20"/>
        </w:rPr>
        <w:t>PRIREDILE: BRANKICA PETKOVIĆ I BARBARA NOVAK</w:t>
      </w:r>
    </w:p>
    <w:p w:rsidR="00090571" w:rsidRDefault="00851FB1">
      <w:pPr>
        <w:pStyle w:val="Bodytext50"/>
        <w:shd w:val="clear" w:color="auto" w:fill="auto"/>
        <w:spacing w:after="463" w:line="330" w:lineRule="exact"/>
        <w:jc w:val="both"/>
        <w:rPr>
          <w:sz w:val="20"/>
          <w:szCs w:val="20"/>
        </w:rPr>
      </w:pPr>
      <w:r>
        <w:rPr>
          <w:sz w:val="20"/>
          <w:szCs w:val="20"/>
        </w:rPr>
        <w:lastRenderedPageBreak/>
        <w:t xml:space="preserve">IZDAVAČI: MIROVNI </w:t>
      </w:r>
      <w:r>
        <w:rPr>
          <w:sz w:val="20"/>
          <w:szCs w:val="20"/>
        </w:rPr>
        <w:t>INSTITUT (LJUBLJANA) I SEENPM</w:t>
      </w:r>
    </w:p>
    <w:p w:rsidR="00090571" w:rsidRDefault="00851FB1">
      <w:pPr>
        <w:pStyle w:val="Bodytext50"/>
        <w:numPr>
          <w:ilvl w:val="0"/>
          <w:numId w:val="2"/>
        </w:numPr>
        <w:shd w:val="clear" w:color="auto" w:fill="auto"/>
        <w:spacing w:after="463" w:line="330" w:lineRule="exact"/>
        <w:jc w:val="both"/>
        <w:rPr>
          <w:b/>
          <w:bCs/>
          <w:sz w:val="20"/>
          <w:szCs w:val="20"/>
        </w:rPr>
      </w:pPr>
      <w:r>
        <w:rPr>
          <w:b/>
          <w:bCs/>
          <w:sz w:val="20"/>
          <w:szCs w:val="20"/>
        </w:rPr>
        <w:t>UVOD</w:t>
      </w:r>
    </w:p>
    <w:p w:rsidR="00090571" w:rsidRDefault="00851FB1">
      <w:pPr>
        <w:pStyle w:val="BodyText9"/>
        <w:spacing w:after="240" w:line="264" w:lineRule="exact"/>
        <w:ind w:right="2660"/>
        <w:jc w:val="both"/>
      </w:pPr>
      <w:r>
        <w:t xml:space="preserve">         Široko priznavanje hitne potrebe da se odgovori </w:t>
      </w:r>
      <w:proofErr w:type="gramStart"/>
      <w:r>
        <w:t>na</w:t>
      </w:r>
      <w:proofErr w:type="gramEnd"/>
      <w:r>
        <w:t xml:space="preserve"> sve veće prijetnje govora mržnje na internetu i dezinformacije, po demokratiju i ljudska prava, ogleda se u broju nedavnih regulatornih i političkih inicijativa </w:t>
      </w:r>
      <w:r>
        <w:t xml:space="preserve">Evropske unije i pojedinih država članica. Zajedno </w:t>
      </w:r>
      <w:proofErr w:type="gramStart"/>
      <w:r>
        <w:t>sa</w:t>
      </w:r>
      <w:proofErr w:type="gramEnd"/>
      <w:r>
        <w:t xml:space="preserve"> ovom hitnom potrebom, postoji ogroman izazov da se osmisle i donesu adekvatne i efikasne regulatorne i političke mjere protiv govora mržnje i dezinformacija na mreži, uzimajući u obzir složenost oblasti</w:t>
      </w:r>
      <w:r>
        <w:t xml:space="preserve"> – regulacije internet sadržaja. Rizici neopravdano prekomjernih ograničenja slobode izražavanja i privatizacije organa za sprovođenje zakona </w:t>
      </w:r>
      <w:proofErr w:type="gramStart"/>
      <w:r>
        <w:t>od</w:t>
      </w:r>
      <w:proofErr w:type="gramEnd"/>
      <w:r>
        <w:t xml:space="preserve"> strane IT kompanija su posebna pitanja koja izazivaju zabrinutost.</w:t>
      </w:r>
    </w:p>
    <w:p w:rsidR="00090571" w:rsidRDefault="00851FB1">
      <w:pPr>
        <w:pStyle w:val="BodyText9"/>
        <w:spacing w:after="240" w:line="264" w:lineRule="exact"/>
        <w:ind w:left="20" w:right="20"/>
        <w:jc w:val="both"/>
      </w:pPr>
      <w:r>
        <w:rPr>
          <w:rFonts w:ascii="Garamond" w:hAnsi="Garamond"/>
          <w:color w:val="000000"/>
        </w:rPr>
        <w:t xml:space="preserve">             </w:t>
      </w:r>
      <w:r>
        <w:rPr>
          <w:color w:val="000000"/>
        </w:rPr>
        <w:t xml:space="preserve">Neki </w:t>
      </w:r>
      <w:proofErr w:type="gramStart"/>
      <w:r>
        <w:rPr>
          <w:color w:val="000000"/>
        </w:rPr>
        <w:t>od</w:t>
      </w:r>
      <w:proofErr w:type="gramEnd"/>
      <w:r>
        <w:rPr>
          <w:color w:val="000000"/>
        </w:rPr>
        <w:t xml:space="preserve"> instrumenata usvojenih </w:t>
      </w:r>
      <w:r>
        <w:rPr>
          <w:color w:val="000000"/>
        </w:rPr>
        <w:t xml:space="preserve">posljednjih godina imaju oblik zakona i oslanjaju se na vlasti da obezbijede sprovođenje zakona, dok su drugi uveli mehanizme samoregulacije i odgovornosti za onlajn platforme koje se oslanjaju na sopstveno sprovođenje pravila. </w:t>
      </w:r>
      <w:proofErr w:type="gramStart"/>
      <w:r>
        <w:rPr>
          <w:color w:val="000000"/>
        </w:rPr>
        <w:t>Istovremeno, razvijeni su ra</w:t>
      </w:r>
      <w:r>
        <w:rPr>
          <w:color w:val="000000"/>
        </w:rPr>
        <w:t>zličiti projekti koje finansira EU kako bi se upotpunili napori istraživanja, praćenja, obrazovanja, izvještavanja, umrežavanja širom EU i saradnje u borbi protiv govora mržnje i dezinformacija putem razmjene znanja, inovativnih alata i informisanja politi</w:t>
      </w:r>
      <w:r>
        <w:rPr>
          <w:color w:val="000000"/>
        </w:rPr>
        <w:t>čkih aktera i odluke o regulisanju.</w:t>
      </w:r>
      <w:proofErr w:type="gramEnd"/>
      <w:r>
        <w:rPr>
          <w:color w:val="000000"/>
        </w:rPr>
        <w:t xml:space="preserve"> </w:t>
      </w:r>
      <w:proofErr w:type="gramStart"/>
      <w:r>
        <w:rPr>
          <w:color w:val="000000"/>
        </w:rPr>
        <w:t>Na nivou Evropske unije, očekivani pravni osnov za regulisanje u ovoj oblasti je član 114.</w:t>
      </w:r>
      <w:proofErr w:type="gramEnd"/>
      <w:r>
        <w:rPr>
          <w:color w:val="000000"/>
        </w:rPr>
        <w:t xml:space="preserve"> Ugovora o funkcionisanju Evropske unije koji zahtijeva čvrstu demonstraciju da je regulatorna inicijativa potrebna za obezbjeđiva</w:t>
      </w:r>
      <w:r>
        <w:rPr>
          <w:color w:val="000000"/>
        </w:rPr>
        <w:t>nje funkcionisanja unutrašnjeg tržišta</w:t>
      </w:r>
      <w:proofErr w:type="gramStart"/>
      <w:r>
        <w:rPr>
          <w:color w:val="000000"/>
        </w:rPr>
        <w:t>.[</w:t>
      </w:r>
      <w:proofErr w:type="gramEnd"/>
      <w:r>
        <w:rPr>
          <w:color w:val="000000"/>
        </w:rPr>
        <w:t>1] </w:t>
      </w:r>
    </w:p>
    <w:p w:rsidR="00090571" w:rsidRDefault="00851FB1">
      <w:pPr>
        <w:pStyle w:val="BodyText9"/>
        <w:spacing w:after="240" w:line="264" w:lineRule="exact"/>
        <w:ind w:left="20" w:right="20"/>
        <w:jc w:val="both"/>
      </w:pPr>
      <w:r>
        <w:rPr>
          <w:color w:val="000000"/>
        </w:rPr>
        <w:t xml:space="preserve">Stoga, </w:t>
      </w:r>
      <w:r>
        <w:t xml:space="preserve">predmet regulacije su "usluge", bilo audiovizuelne medijske usluge </w:t>
      </w:r>
      <w:proofErr w:type="gramStart"/>
      <w:r>
        <w:t>ili</w:t>
      </w:r>
      <w:proofErr w:type="gramEnd"/>
      <w:r>
        <w:t xml:space="preserve"> digitalne usluge. </w:t>
      </w:r>
      <w:proofErr w:type="gramStart"/>
      <w:r>
        <w:t>Postoje, međutim, važni neekonomski ciljevi regulacije medija i digitalnih "usluga", koji proizilaze iz njihove vrij</w:t>
      </w:r>
      <w:r>
        <w:t>ednosti za demokratiju i ljudska prava i za ispunjavanje društvenih i kulturnih funkcija medija i digitalne komunikacije.</w:t>
      </w:r>
      <w:proofErr w:type="gramEnd"/>
      <w:r>
        <w:t xml:space="preserve"> Na nivou država članica EU, nedavno je bilo nekoliko regulatornih i političkih inicijativa za regulisanje govora mržnje i dezinformaci</w:t>
      </w:r>
      <w:r>
        <w:t xml:space="preserve">ja </w:t>
      </w:r>
      <w:proofErr w:type="gramStart"/>
      <w:r>
        <w:t>na</w:t>
      </w:r>
      <w:proofErr w:type="gramEnd"/>
      <w:r>
        <w:t xml:space="preserve"> mreži.</w:t>
      </w:r>
    </w:p>
    <w:p w:rsidR="00090571" w:rsidRDefault="00851FB1">
      <w:pPr>
        <w:pStyle w:val="BodyText9"/>
        <w:spacing w:after="240" w:line="264" w:lineRule="exact"/>
        <w:ind w:left="20" w:right="20"/>
        <w:jc w:val="both"/>
      </w:pPr>
      <w:r>
        <w:t xml:space="preserve">U ovom informatoru predstavljamo nekoliko primjera regulative </w:t>
      </w:r>
      <w:proofErr w:type="gramStart"/>
      <w:r>
        <w:t>na</w:t>
      </w:r>
      <w:proofErr w:type="gramEnd"/>
      <w:r>
        <w:t xml:space="preserve"> nivou EU (inicijativa za) kao i samoregulatornih mehanizama koji imaju za cilj suzbijanje govora mržnje i dezinformacija na mreži. Biće predstavljeni i primjeri regulacije </w:t>
      </w:r>
      <w:proofErr w:type="gramStart"/>
      <w:r>
        <w:t>ili</w:t>
      </w:r>
      <w:proofErr w:type="gramEnd"/>
      <w:r>
        <w:t xml:space="preserve"> sa</w:t>
      </w:r>
      <w:r>
        <w:t>moregulacije na nivou nekoliko država članica. Kratak prikaz primjera regulatornih i samoregulatornih mehanizama u Evropskoj uniji dopunjuje informator uz opise nacionalnih regulatornih i samoregulatornih okvira protiv govora mržnje i dezinformacija u zeml</w:t>
      </w:r>
      <w:r>
        <w:t xml:space="preserve">jama Zapadnog Balkana i Turskoj. Podaci imaju za cilj da informativno djeluju </w:t>
      </w:r>
      <w:proofErr w:type="gramStart"/>
      <w:r>
        <w:t>na</w:t>
      </w:r>
      <w:proofErr w:type="gramEnd"/>
      <w:r>
        <w:t xml:space="preserve"> rasprave o politikama u ovim zemljama u okviru regionalnog projekta SNAŽNI – Mediji bez mržnje i dezinformacija. Oni prate seriju nacionalnih izvještaja i regionalnih pregleda</w:t>
      </w:r>
      <w:r>
        <w:t xml:space="preserve"> o modelima mržnje i propagande u medijima i </w:t>
      </w:r>
      <w:r>
        <w:lastRenderedPageBreak/>
        <w:t xml:space="preserve">komunikaciji, o narativima mržnje u onlajn medijima i komunikaciji i o poverenju u medije, proizvedenih u okviru projekta </w:t>
      </w:r>
      <w:proofErr w:type="gramStart"/>
      <w:r>
        <w:t xml:space="preserve">SNAŽNI </w:t>
      </w:r>
      <w:proofErr w:type="gramEnd"/>
      <w:r w:rsidRPr="00090571">
        <w:rPr>
          <w:rStyle w:val="FootnoteReference"/>
        </w:rPr>
        <w:footnoteReference w:id="1"/>
      </w:r>
      <w:r>
        <w:t>.</w:t>
      </w:r>
    </w:p>
    <w:p w:rsidR="00090571" w:rsidRDefault="00851FB1">
      <w:pPr>
        <w:pStyle w:val="BodyText9"/>
        <w:shd w:val="clear" w:color="auto" w:fill="auto"/>
        <w:spacing w:after="240" w:line="264" w:lineRule="exact"/>
        <w:ind w:left="20" w:right="20"/>
        <w:jc w:val="both"/>
      </w:pPr>
      <w:r>
        <w:t xml:space="preserve">Pregled obuhvata informacije o regulatornim i samoregulatornim dokumentima i mehanizmima u Evropskoj uniji i njihovo objašnjenje </w:t>
      </w:r>
      <w:proofErr w:type="gramStart"/>
      <w:r>
        <w:t>od</w:t>
      </w:r>
      <w:proofErr w:type="gramEnd"/>
      <w:r>
        <w:t xml:space="preserve"> strane raznih pravnih eksperata. Takođe, uključuje kratku prezentac</w:t>
      </w:r>
      <w:r>
        <w:t xml:space="preserve">iju kritičkih stavova i izazova za svaki primjer regulacije </w:t>
      </w:r>
      <w:proofErr w:type="gramStart"/>
      <w:r>
        <w:t>ili</w:t>
      </w:r>
      <w:proofErr w:type="gramEnd"/>
      <w:r>
        <w:t xml:space="preserve"> samoregulacije, kako su to razradili pravni eksperti i interesne grupe.</w:t>
      </w:r>
    </w:p>
    <w:p w:rsidR="00090571" w:rsidRDefault="00090571">
      <w:pPr>
        <w:pStyle w:val="BodyText9"/>
        <w:spacing w:after="240" w:line="264" w:lineRule="exact"/>
        <w:ind w:left="20" w:right="20"/>
        <w:jc w:val="both"/>
      </w:pPr>
    </w:p>
    <w:p w:rsidR="00090571" w:rsidRDefault="00090571">
      <w:pPr>
        <w:pStyle w:val="ydpffe3f7b2bodytext9"/>
        <w:spacing w:before="0" w:after="240" w:line="264" w:lineRule="atLeast"/>
        <w:ind w:left="20" w:right="2660"/>
        <w:jc w:val="both"/>
        <w:rPr>
          <w:rFonts w:ascii="Arial" w:hAnsi="Arial" w:cs="Arial"/>
          <w:b/>
          <w:bCs/>
          <w:color w:val="000000"/>
          <w:sz w:val="20"/>
          <w:szCs w:val="20"/>
        </w:rPr>
      </w:pPr>
    </w:p>
    <w:p w:rsidR="00090571" w:rsidRDefault="00851FB1">
      <w:pPr>
        <w:pStyle w:val="BodyText9"/>
        <w:numPr>
          <w:ilvl w:val="0"/>
          <w:numId w:val="2"/>
        </w:numPr>
        <w:spacing w:after="240" w:line="264" w:lineRule="exact"/>
        <w:ind w:right="2660"/>
        <w:jc w:val="both"/>
        <w:rPr>
          <w:b/>
          <w:bCs/>
        </w:rPr>
      </w:pPr>
      <w:r>
        <w:rPr>
          <w:b/>
          <w:bCs/>
        </w:rPr>
        <w:t>EU: Inicijativa za zakon o digitalnim uslugama (2020)</w:t>
      </w:r>
    </w:p>
    <w:p w:rsidR="00090571" w:rsidRDefault="00851FB1">
      <w:pPr>
        <w:pStyle w:val="BodyText9"/>
        <w:spacing w:before="327" w:after="240" w:line="264" w:lineRule="exact"/>
        <w:ind w:right="20"/>
        <w:jc w:val="both"/>
      </w:pPr>
      <w:r>
        <w:t>Zakon o digitalnim uslugama (DSA)</w:t>
      </w:r>
      <w:r w:rsidRPr="00090571">
        <w:rPr>
          <w:rStyle w:val="FootnoteReference"/>
        </w:rPr>
        <w:footnoteReference w:id="2"/>
      </w:r>
      <w:r>
        <w:t xml:space="preserve"> je zakonski prijedlog Evropske komisije</w:t>
      </w:r>
      <w:r w:rsidRPr="00090571">
        <w:rPr>
          <w:rStyle w:val="FootnoteReference"/>
        </w:rPr>
        <w:footnoteReference w:id="3"/>
      </w:r>
      <w:r>
        <w:t xml:space="preserve"> koji ima za cilj da unaprijedi trenutnu regulativu digit</w:t>
      </w:r>
      <w:r>
        <w:t>alnih usluga u EU</w:t>
      </w:r>
      <w:r w:rsidRPr="00090571">
        <w:rPr>
          <w:rStyle w:val="FootnoteReference"/>
        </w:rPr>
        <w:footnoteReference w:id="4"/>
      </w:r>
      <w:r>
        <w:t xml:space="preserve">, posebno u vezi </w:t>
      </w:r>
      <w:proofErr w:type="gramStart"/>
      <w:r>
        <w:t>sa</w:t>
      </w:r>
      <w:proofErr w:type="gramEnd"/>
      <w:r>
        <w:t xml:space="preserve"> nelegalnim sadržajem (uključujući nelegalni govor mržnje</w:t>
      </w:r>
      <w:r>
        <w:t xml:space="preserve"> na mreži), transparentnim oglašavanjem i dezinformacijama. Digitalne usluge se kreću </w:t>
      </w:r>
      <w:proofErr w:type="gramStart"/>
      <w:r>
        <w:t>od</w:t>
      </w:r>
      <w:proofErr w:type="gramEnd"/>
      <w:r>
        <w:t xml:space="preserve"> jednostavnih veb lokacija do usluga internetske infrastrukture i onlajn platformi. Nezakonit govor mržnje je u pravu EU definisan Okvirnom odlukom o suzbijanju određen</w:t>
      </w:r>
      <w:r>
        <w:t>ih oblika i izraza rasizma i ksenofobije putem krivičnog prava</w:t>
      </w:r>
      <w:r w:rsidRPr="00090571">
        <w:rPr>
          <w:rStyle w:val="FootnoteReference"/>
        </w:rPr>
        <w:footnoteReference w:id="5"/>
      </w:r>
      <w:r>
        <w:t xml:space="preserve"> kao javno podsticanje nasilja </w:t>
      </w:r>
      <w:proofErr w:type="gramStart"/>
      <w:r>
        <w:t>ili</w:t>
      </w:r>
      <w:proofErr w:type="gramEnd"/>
      <w:r>
        <w:t xml:space="preserve"> mržnje usmjereno prema grupama ili pojedincim</w:t>
      </w:r>
      <w:r>
        <w:t xml:space="preserve">a na osnovu određenih karakteristika, uključujući rasu, boju, vjeru, porijeklo i nacionalno ili etničko porijeklo. Zakonski prijedlog je podnijet </w:t>
      </w:r>
      <w:proofErr w:type="gramStart"/>
      <w:r>
        <w:t>na</w:t>
      </w:r>
      <w:proofErr w:type="gramEnd"/>
      <w:r>
        <w:t xml:space="preserve"> usvajanje Evropskom parlamentu i Evropskom savjetu u decembru 2020. Očekuje se da </w:t>
      </w:r>
      <w:proofErr w:type="gramStart"/>
      <w:r>
        <w:t>će</w:t>
      </w:r>
      <w:proofErr w:type="gramEnd"/>
      <w:r>
        <w:t xml:space="preserve"> procedura usvajanja tr</w:t>
      </w:r>
      <w:r>
        <w:t xml:space="preserve">ajati do sredine 2022. </w:t>
      </w:r>
      <w:proofErr w:type="gramStart"/>
      <w:r>
        <w:t>godine</w:t>
      </w:r>
      <w:proofErr w:type="gramEnd"/>
      <w:r>
        <w:t>.</w:t>
      </w:r>
    </w:p>
    <w:p w:rsidR="00090571" w:rsidRDefault="00851FB1">
      <w:pPr>
        <w:pStyle w:val="BodyText9"/>
        <w:shd w:val="clear" w:color="auto" w:fill="auto"/>
        <w:spacing w:before="327" w:after="240" w:line="264" w:lineRule="exact"/>
        <w:ind w:right="20"/>
        <w:jc w:val="both"/>
      </w:pPr>
      <w:r>
        <w:t xml:space="preserve">Predloženi DSA ima za cilj da poboljša moderiranje sadržaja na platformama društvenih medija kako bi se riješili </w:t>
      </w:r>
      <w:proofErr w:type="gramStart"/>
      <w:r>
        <w:t>problemi  nelegalnog</w:t>
      </w:r>
      <w:proofErr w:type="gramEnd"/>
      <w:r>
        <w:t xml:space="preserve"> sadržaja. Predlog DSA zadržava važeće pravilo prema kojem kompanije koje ‘ugošćuju’ druge a</w:t>
      </w:r>
      <w:r>
        <w:t xml:space="preserve"> samim </w:t>
      </w:r>
      <w:proofErr w:type="gramStart"/>
      <w:r>
        <w:t>tim</w:t>
      </w:r>
      <w:proofErr w:type="gramEnd"/>
      <w:r>
        <w:t xml:space="preserve"> i podatke, nisu odgovorni za sadržaj osim ako zapravo ne znaju da je nezakonit, ali dodaje izuzetak da kada je nezakonit sadržaj označen, kompanije moraju da ga uklone. DSA bi uvela nove obaveze </w:t>
      </w:r>
      <w:proofErr w:type="gramStart"/>
      <w:r>
        <w:t>na</w:t>
      </w:r>
      <w:proofErr w:type="gramEnd"/>
      <w:r>
        <w:t xml:space="preserve"> platformama da otkriju regulatorima kako njihov</w:t>
      </w:r>
      <w:r>
        <w:t xml:space="preserve">i algoritmi funkcionišu, kako se donose odluke o uklanjanju sadržaja i na koji način oglašivači targetiraju korisnike. Mnoge njegove odredbe primjenjuju se samo </w:t>
      </w:r>
      <w:proofErr w:type="gramStart"/>
      <w:r>
        <w:t>na</w:t>
      </w:r>
      <w:proofErr w:type="gramEnd"/>
      <w:r>
        <w:t xml:space="preserve"> platforme koje imaju više od 45 miliona korisnika u Evropskoj uniji. Platforme uključujući F</w:t>
      </w:r>
      <w:r>
        <w:t>acebook, Google-ov kompaniju YouTube, Twitter i TikTok bi zadovoljile taj prag i bile bi podvrgnute novim obavezama.Kompanije koje se ne pridržavaju novih zakonskih regulativa rizikuju da budu novčano kažnjene u iznosu do 6% njihovog godišnjeg prihoda.</w:t>
      </w:r>
      <w:r w:rsidRPr="00090571">
        <w:rPr>
          <w:rStyle w:val="FootnoteReference"/>
        </w:rPr>
        <w:footnoteReference w:id="6"/>
      </w:r>
    </w:p>
    <w:p w:rsidR="00090571" w:rsidRDefault="00851FB1">
      <w:pPr>
        <w:pStyle w:val="BodyText9"/>
        <w:spacing w:after="240" w:line="264" w:lineRule="exact"/>
        <w:ind w:right="20"/>
        <w:jc w:val="both"/>
      </w:pPr>
      <w:r>
        <w:t xml:space="preserve">Međunarodna advokatska firma Allen &amp; Overi je detaljnije sažela glavne odredbe DSA: </w:t>
      </w:r>
    </w:p>
    <w:p w:rsidR="00090571" w:rsidRDefault="00851FB1">
      <w:pPr>
        <w:pStyle w:val="BodyText9"/>
        <w:spacing w:after="240" w:line="264" w:lineRule="exact"/>
        <w:ind w:right="20"/>
        <w:jc w:val="both"/>
      </w:pPr>
      <w:r>
        <w:lastRenderedPageBreak/>
        <w:t>• Modernizovani reži</w:t>
      </w:r>
      <w:r>
        <w:t xml:space="preserve">m odgovornosti za onlajn posrednike. Ključni principi iz Direktive o e-trgovini ostaju uglavnom nepromijenjeni, </w:t>
      </w:r>
      <w:proofErr w:type="gramStart"/>
      <w:r>
        <w:t>ali</w:t>
      </w:r>
      <w:proofErr w:type="gramEnd"/>
      <w:r>
        <w:t xml:space="preserve"> DSA dodaje obaveze da se adresiraju obavještenja o sadržaju koji se smatra nezakonitim. DSA zahtijeva </w:t>
      </w:r>
      <w:proofErr w:type="gramStart"/>
      <w:r>
        <w:t>od</w:t>
      </w:r>
      <w:proofErr w:type="gramEnd"/>
      <w:r>
        <w:t xml:space="preserve"> svakog hosting provajdera ili onlaj</w:t>
      </w:r>
      <w:r>
        <w:t xml:space="preserve">n platforme da postavi obavještenja koja su laka za korisnika i mehanizme za uklanjanje koji omogućavaju obavještenje o nelegalnom sadržaju. Onlajn platforme </w:t>
      </w:r>
      <w:proofErr w:type="gramStart"/>
      <w:r>
        <w:t>će</w:t>
      </w:r>
      <w:proofErr w:type="gramEnd"/>
      <w:r>
        <w:t xml:space="preserve"> morati da uspostave interne sisteme za rješavanje žalbi, da se angažuju sa tijelima za vansudsk</w:t>
      </w:r>
      <w:r>
        <w:t>o rješavanje sporova kako bi riješili sporove sa svojim korisnicima, da daju prioritet obavještenjima o subjektima koje su vlasti kvalifikovale kao takozvane pouzdane osobe i suspenduju povratnici - prekršioci.</w:t>
      </w:r>
    </w:p>
    <w:p w:rsidR="00090571" w:rsidRDefault="00851FB1">
      <w:pPr>
        <w:pStyle w:val="BodyText9"/>
        <w:spacing w:after="240" w:line="264" w:lineRule="exact"/>
        <w:ind w:right="20"/>
        <w:jc w:val="both"/>
      </w:pPr>
      <w:r>
        <w:t>• Nove i dalekosežne obaveze transparentnosti</w:t>
      </w:r>
      <w:r>
        <w:t xml:space="preserve"> za onlajn platforme u vezi </w:t>
      </w:r>
      <w:proofErr w:type="gramStart"/>
      <w:r>
        <w:t>sa</w:t>
      </w:r>
      <w:proofErr w:type="gramEnd"/>
      <w:r>
        <w:t xml:space="preserve"> mjerama preduzetim za borbu protiv nelegalnih informacija. </w:t>
      </w:r>
      <w:proofErr w:type="gramStart"/>
      <w:r>
        <w:t>Ako se sadržaj ukloni, potrebno je dati objašnjenje osobi koja je otpremila taj sadržaj.</w:t>
      </w:r>
      <w:proofErr w:type="gramEnd"/>
      <w:r>
        <w:t xml:space="preserve"> Onlajn platforme takođe moraju da objave detaljne izveštaje o svojim aktivnos</w:t>
      </w:r>
      <w:r>
        <w:t xml:space="preserve">tima u vezi </w:t>
      </w:r>
      <w:proofErr w:type="gramStart"/>
      <w:r>
        <w:t>sa</w:t>
      </w:r>
      <w:proofErr w:type="gramEnd"/>
      <w:r>
        <w:t xml:space="preserve"> uklanjanjem i onemogućavanjem nelegalnog sadržaja ili sadržaja u suprotnosti sa njihovim uslovima i odredbama.</w:t>
      </w:r>
    </w:p>
    <w:p w:rsidR="00090571" w:rsidRDefault="00851FB1">
      <w:pPr>
        <w:pStyle w:val="BodyText9"/>
        <w:spacing w:after="240" w:line="264" w:lineRule="exact"/>
        <w:ind w:right="20"/>
        <w:jc w:val="both"/>
      </w:pPr>
      <w:r>
        <w:t>• Obaveza onlajn posrednika da u svoje uslove i odredbe uključe informacije o svim ograničenjima korišćenja podataka koje daju kor</w:t>
      </w:r>
      <w:r>
        <w:t xml:space="preserve">isnici, s obzirom </w:t>
      </w:r>
      <w:proofErr w:type="gramStart"/>
      <w:r>
        <w:t>na</w:t>
      </w:r>
      <w:proofErr w:type="gramEnd"/>
      <w:r>
        <w:t xml:space="preserve"> primjenjene mehanizme moderiranja sadržaja, algoritamsko donošenje odluka i dostupnosti za pregled. Ove informacije moraju biti </w:t>
      </w:r>
      <w:proofErr w:type="gramStart"/>
      <w:r>
        <w:t>na</w:t>
      </w:r>
      <w:proofErr w:type="gramEnd"/>
      <w:r>
        <w:t xml:space="preserve"> jasnom i nedvosmislenom jeziku i javno dostupne u lako dostupnom formatu. </w:t>
      </w:r>
    </w:p>
    <w:p w:rsidR="00090571" w:rsidRDefault="00851FB1">
      <w:pPr>
        <w:pStyle w:val="BodyText9"/>
        <w:spacing w:after="240" w:line="264" w:lineRule="exact"/>
        <w:ind w:right="20"/>
        <w:jc w:val="both"/>
      </w:pPr>
      <w:r>
        <w:t xml:space="preserve">• Obaveze transparentnosti u </w:t>
      </w:r>
      <w:r>
        <w:t xml:space="preserve">vezi </w:t>
      </w:r>
      <w:proofErr w:type="gramStart"/>
      <w:r>
        <w:t>sa</w:t>
      </w:r>
      <w:proofErr w:type="gramEnd"/>
      <w:r>
        <w:t xml:space="preserve"> onlajn oglasima. Za svaki oglas i svakom korisniku, onlajn platforme moraju da pruže, u realnom vremenu, jasne i nedvosmislene informacije korisnicima da a) vide oglas, b) u čije ime se oglas prikazuje, i c) da pruže značajne informacije o glavnim </w:t>
      </w:r>
      <w:r>
        <w:t>parametrima koji se koriste da bi se utvrdilo zašto ovaj oglas cilja određenog korisnika.</w:t>
      </w:r>
    </w:p>
    <w:p w:rsidR="00090571" w:rsidRDefault="00851FB1">
      <w:pPr>
        <w:pStyle w:val="BodyText9"/>
        <w:spacing w:after="240" w:line="264" w:lineRule="exact"/>
        <w:ind w:right="20"/>
        <w:jc w:val="both"/>
      </w:pPr>
      <w:r>
        <w:t xml:space="preserve">• Visoke kazne za nepoštovanje do 6% godišnjeg prihoda </w:t>
      </w:r>
      <w:proofErr w:type="gramStart"/>
      <w:r>
        <w:t>ili</w:t>
      </w:r>
      <w:proofErr w:type="gramEnd"/>
      <w:r>
        <w:t xml:space="preserve"> prometa pružaoca posredničkih usluga i periodične kazne za kontinuirano kršenje do 5% prosječnog dnevnog pr</w:t>
      </w:r>
      <w:r>
        <w:t>ometa posrednika za prethodnu finansijsku godinu po danu.</w:t>
      </w:r>
    </w:p>
    <w:p w:rsidR="00090571" w:rsidRDefault="00851FB1">
      <w:pPr>
        <w:pStyle w:val="BodyText9"/>
        <w:spacing w:after="240" w:line="264" w:lineRule="exact"/>
        <w:ind w:right="20"/>
        <w:jc w:val="both"/>
      </w:pPr>
      <w:r>
        <w:t xml:space="preserve">• Online posrednici koji nemaju poslovnu adresu osnivanja u EU a koji pružaju usluge u EU moraju odrediti pravnog zastupnika u EU od kojeg će se tražiti da sarađuje sa nadzornim organima, Evropskom </w:t>
      </w:r>
      <w:r>
        <w:t>komisijom i Evropskim odborom za digitalne usluge (</w:t>
      </w:r>
      <w:proofErr w:type="gramStart"/>
      <w:r>
        <w:t>nov</w:t>
      </w:r>
      <w:r>
        <w:rPr>
          <w:lang w:val="en-US"/>
        </w:rPr>
        <w:t xml:space="preserve">a </w:t>
      </w:r>
      <w:r>
        <w:t xml:space="preserve"> pan</w:t>
      </w:r>
      <w:proofErr w:type="gramEnd"/>
      <w:r>
        <w:t xml:space="preserve"> -Evropska grupa koordinatora koja će pomagati u usklađivanju DSA) i može se smatrati odgovornom za nepoštovanje DSA.</w:t>
      </w:r>
    </w:p>
    <w:p w:rsidR="00090571" w:rsidRDefault="00851FB1">
      <w:pPr>
        <w:pStyle w:val="BodyText9"/>
        <w:spacing w:after="240" w:line="264" w:lineRule="exact"/>
        <w:ind w:right="20"/>
        <w:jc w:val="both"/>
      </w:pPr>
      <w:r>
        <w:t xml:space="preserve">Pored gore navedenih pravila, veoma velike platforme takođe, moraju da budu u </w:t>
      </w:r>
      <w:r>
        <w:t xml:space="preserve">skladu </w:t>
      </w:r>
      <w:proofErr w:type="gramStart"/>
      <w:r>
        <w:t>sa</w:t>
      </w:r>
      <w:proofErr w:type="gramEnd"/>
      <w:r>
        <w:t xml:space="preserve"> pravilima navedenim u nastavku. Veoma velike onlajn platforme su one platforme koje imaju više </w:t>
      </w:r>
      <w:proofErr w:type="gramStart"/>
      <w:r>
        <w:t>od</w:t>
      </w:r>
      <w:proofErr w:type="gramEnd"/>
      <w:r>
        <w:t xml:space="preserve"> 45 miliona aktivnih mjesečnih korisnika u EU i one će morati da:</w:t>
      </w:r>
    </w:p>
    <w:p w:rsidR="00090571" w:rsidRDefault="00851FB1">
      <w:pPr>
        <w:pStyle w:val="BodyText9"/>
        <w:spacing w:after="240" w:line="264" w:lineRule="exact"/>
        <w:ind w:right="20"/>
        <w:jc w:val="both"/>
      </w:pPr>
      <w:r>
        <w:t xml:space="preserve">• Analiziraju svaki sistemski rizik koji proizilazi iz upotrebe njihovih platformi </w:t>
      </w:r>
      <w:r>
        <w:t xml:space="preserve">i uspostave efikasne mehanizme moderiranja sadržaja za rješavanje identifikovanih rizika (npr. nezakonit sadržaj, kršenje privatnosti, itd.). </w:t>
      </w:r>
    </w:p>
    <w:p w:rsidR="00090571" w:rsidRDefault="00851FB1">
      <w:pPr>
        <w:pStyle w:val="BodyText9"/>
        <w:spacing w:after="240" w:line="264" w:lineRule="exact"/>
        <w:ind w:right="20"/>
        <w:jc w:val="both"/>
      </w:pPr>
      <w:r>
        <w:t>• Pružiti transparentnost o glavnim parametrima algoritama za donošenje odluka koji se koriste za ponudu sadržaja</w:t>
      </w:r>
      <w:r>
        <w:t xml:space="preserve"> </w:t>
      </w:r>
      <w:proofErr w:type="gramStart"/>
      <w:r>
        <w:t>na</w:t>
      </w:r>
      <w:proofErr w:type="gramEnd"/>
      <w:r>
        <w:t xml:space="preserve"> njihovim platformama (mehanizam rangiranja) i opcijama za </w:t>
      </w:r>
      <w:r>
        <w:lastRenderedPageBreak/>
        <w:t xml:space="preserve">korisnika da izmijeni te parametre. Moraju da obezbijede opciju koja nije zasnovana </w:t>
      </w:r>
      <w:proofErr w:type="gramStart"/>
      <w:r>
        <w:t>na</w:t>
      </w:r>
      <w:proofErr w:type="gramEnd"/>
      <w:r>
        <w:t xml:space="preserve"> profilisanju</w:t>
      </w:r>
    </w:p>
    <w:p w:rsidR="00090571" w:rsidRDefault="00851FB1">
      <w:pPr>
        <w:pStyle w:val="BodyText9"/>
        <w:spacing w:after="240" w:line="264" w:lineRule="exact"/>
        <w:ind w:right="20"/>
        <w:jc w:val="both"/>
      </w:pPr>
      <w:r>
        <w:t>• Uspostav</w:t>
      </w:r>
      <w:r>
        <w:rPr>
          <w:lang w:val="en-US"/>
        </w:rPr>
        <w:t>e</w:t>
      </w:r>
      <w:r>
        <w:t xml:space="preserve"> i održavaj</w:t>
      </w:r>
      <w:r>
        <w:rPr>
          <w:lang w:val="en-US"/>
        </w:rPr>
        <w:t>u</w:t>
      </w:r>
      <w:r>
        <w:t xml:space="preserve"> javno skladište, dostupno preko interfejsa za programiranje aplikacija</w:t>
      </w:r>
      <w:r>
        <w:t xml:space="preserve">, </w:t>
      </w:r>
      <w:proofErr w:type="gramStart"/>
      <w:r>
        <w:t>sa</w:t>
      </w:r>
      <w:proofErr w:type="gramEnd"/>
      <w:r>
        <w:t xml:space="preserve"> detaljnim informacijama o onlajn oglasima koje su servirali na svojim platformama u protekloj godini. </w:t>
      </w:r>
    </w:p>
    <w:p w:rsidR="00090571" w:rsidRDefault="00851FB1">
      <w:pPr>
        <w:pStyle w:val="BodyText9"/>
        <w:spacing w:after="240" w:line="264" w:lineRule="exact"/>
        <w:ind w:right="20"/>
        <w:jc w:val="both"/>
      </w:pPr>
      <w:r>
        <w:t>• Obaveza da se imenuje službenik za kontrolu usklađenosti koji je odgovoran za poštovanje obaveza prema DSA i da se podvrgne godišnjoj nezavisnoj r</w:t>
      </w:r>
      <w:r>
        <w:t>eviziji.</w:t>
      </w:r>
    </w:p>
    <w:p w:rsidR="00090571" w:rsidRDefault="00851FB1">
      <w:pPr>
        <w:pStyle w:val="BodyText9"/>
        <w:spacing w:after="240" w:line="264" w:lineRule="exact"/>
        <w:ind w:right="20"/>
        <w:jc w:val="both"/>
      </w:pPr>
      <w:r>
        <w:t xml:space="preserve">• Na zahtjev nadležnog organa, veoma velike onlajn platforme takođe, moraju da daju pristup podacima neophodnim za praćenje njihove usklađenosti </w:t>
      </w:r>
      <w:proofErr w:type="gramStart"/>
      <w:r>
        <w:t>sa</w:t>
      </w:r>
      <w:proofErr w:type="gramEnd"/>
      <w:r>
        <w:t xml:space="preserve"> DSA nadležnom organu, ali i provjerenim akademskim istraživačima koji vrše istraživanje sistemskih </w:t>
      </w:r>
      <w:r>
        <w:t xml:space="preserve">rizika. </w:t>
      </w:r>
    </w:p>
    <w:p w:rsidR="00090571" w:rsidRDefault="00851FB1">
      <w:pPr>
        <w:pStyle w:val="BodyText9"/>
        <w:shd w:val="clear" w:color="auto" w:fill="auto"/>
        <w:spacing w:after="240" w:line="264" w:lineRule="exact"/>
        <w:ind w:right="20"/>
        <w:jc w:val="both"/>
      </w:pPr>
      <w:r>
        <w:t xml:space="preserve">•Pored toga, Evropska komisija </w:t>
      </w:r>
      <w:proofErr w:type="gramStart"/>
      <w:r>
        <w:t>će</w:t>
      </w:r>
      <w:proofErr w:type="gramEnd"/>
      <w:r>
        <w:t xml:space="preserve"> imati nadzorna i izvršna ovlašćenja u vezi sa veoma velikim platformama.</w:t>
      </w:r>
      <w:r w:rsidRPr="00090571">
        <w:rPr>
          <w:rStyle w:val="FootnoteReference"/>
        </w:rPr>
        <w:footnoteReference w:id="7"/>
      </w:r>
    </w:p>
    <w:p w:rsidR="00090571" w:rsidRDefault="00090571">
      <w:pPr>
        <w:pStyle w:val="BodyText9"/>
        <w:shd w:val="clear" w:color="auto" w:fill="auto"/>
        <w:spacing w:after="240" w:line="264" w:lineRule="exact"/>
        <w:ind w:right="20"/>
        <w:jc w:val="both"/>
      </w:pPr>
    </w:p>
    <w:p w:rsidR="00090571" w:rsidRDefault="00851FB1">
      <w:pPr>
        <w:pStyle w:val="BodyText9"/>
        <w:numPr>
          <w:ilvl w:val="1"/>
          <w:numId w:val="2"/>
        </w:numPr>
        <w:shd w:val="clear" w:color="auto" w:fill="auto"/>
        <w:spacing w:after="240" w:line="264" w:lineRule="exact"/>
        <w:ind w:right="20"/>
        <w:jc w:val="both"/>
        <w:rPr>
          <w:b/>
          <w:bCs/>
        </w:rPr>
      </w:pPr>
      <w:r>
        <w:rPr>
          <w:b/>
          <w:bCs/>
        </w:rPr>
        <w:t xml:space="preserve">IZAZOVI I KRITIČKI STAVOVI </w:t>
      </w:r>
    </w:p>
    <w:p w:rsidR="00090571" w:rsidRDefault="00851FB1">
      <w:pPr>
        <w:pStyle w:val="BodyText9"/>
        <w:shd w:val="clear" w:color="auto" w:fill="auto"/>
        <w:spacing w:after="240" w:line="264" w:lineRule="exact"/>
        <w:ind w:left="20" w:right="20"/>
        <w:jc w:val="both"/>
      </w:pPr>
      <w:r>
        <w:t xml:space="preserve">Uz uvažavanje napora Evropske komisije da </w:t>
      </w:r>
      <w:r>
        <w:t xml:space="preserve">stvori – novom uredbom </w:t>
      </w:r>
      <w:proofErr w:type="gramStart"/>
      <w:r>
        <w:t>–  sigurniji</w:t>
      </w:r>
      <w:proofErr w:type="gramEnd"/>
      <w:r>
        <w:t xml:space="preserve"> digitalni prostor u kojem su zaštićena osnovna prava svih korisnika digitalnih usluga, interesne grupe za zastupanje specijalizovane za odbranu prava i sloboda u digitalnom sektoru sredine izrazile su zabrinutost zbog im</w:t>
      </w:r>
      <w:r>
        <w:t>plikacija predloženog na pravo na slobodu izražavanja.</w:t>
      </w:r>
    </w:p>
    <w:p w:rsidR="00090571" w:rsidRDefault="00851FB1">
      <w:pPr>
        <w:pStyle w:val="BodyText9"/>
        <w:spacing w:after="240" w:line="264" w:lineRule="exact"/>
        <w:ind w:right="2660"/>
        <w:jc w:val="both"/>
      </w:pPr>
      <w:proofErr w:type="gramStart"/>
      <w:r>
        <w:t>Evropska digitalna prava je mreža organizacija za ljudska prava i ljudska prava iz cijele Evrope (EDRi) koja kritikuje „prvo izbriši, razmisli kasnije“; princip uveden prijedlogom DSA.</w:t>
      </w:r>
      <w:proofErr w:type="gramEnd"/>
      <w:r>
        <w:t xml:space="preserve"> Oni zagovaraju d</w:t>
      </w:r>
      <w:r>
        <w:t xml:space="preserve">odatne zaštitne mjere u DSA kako bi se spriječila situacija u kojoj „sistem privatizovane kontrole sadržaja </w:t>
      </w:r>
      <w:proofErr w:type="gramStart"/>
      <w:r>
        <w:t>sa</w:t>
      </w:r>
      <w:proofErr w:type="gramEnd"/>
      <w:r>
        <w:t xml:space="preserve"> proizvoljnim pravilima bude uspostavljen od strane onlajn platformi i usluga van sudskog i demokratskog nadzora“.</w:t>
      </w:r>
      <w:r w:rsidRPr="00090571">
        <w:rPr>
          <w:rStyle w:val="FootnoteReference"/>
        </w:rPr>
        <w:footnoteReference w:id="8"/>
      </w:r>
    </w:p>
    <w:p w:rsidR="00090571" w:rsidRDefault="00851FB1">
      <w:pPr>
        <w:pStyle w:val="Bodytext170"/>
        <w:shd w:val="clear" w:color="auto" w:fill="auto"/>
        <w:ind w:right="20"/>
      </w:pPr>
      <w:r>
        <w:t>Čim bilo ko na internetu označi bil</w:t>
      </w:r>
      <w:r>
        <w:t xml:space="preserve">o koji sadržaj kao potencijalno ilegalan, počinje odgovornost i zahtijevaće od hosting kompanije da "brzo" ukloni ili </w:t>
      </w:r>
      <w:proofErr w:type="gramStart"/>
      <w:r>
        <w:t>onemogući  pristup</w:t>
      </w:r>
      <w:proofErr w:type="gramEnd"/>
      <w:r>
        <w:t xml:space="preserve"> predmetnom sadržaju. Uklanjanje </w:t>
      </w:r>
      <w:proofErr w:type="gramStart"/>
      <w:r>
        <w:t>ili</w:t>
      </w:r>
      <w:proofErr w:type="gramEnd"/>
      <w:r>
        <w:t xml:space="preserve"> onemogućavanje sadržaja koji je obilježen stoga postaje komercijalno najrazumnija r</w:t>
      </w:r>
      <w:r>
        <w:t>adnja za kompanije kako bi se izbjegao rizik pravne odgovornosti.</w:t>
      </w:r>
      <w:r w:rsidRPr="00090571">
        <w:rPr>
          <w:rStyle w:val="FootnoteReference"/>
        </w:rPr>
        <w:footnoteReference w:id="9"/>
      </w:r>
    </w:p>
    <w:p w:rsidR="00090571" w:rsidRDefault="00851FB1">
      <w:pPr>
        <w:pStyle w:val="BodyText9"/>
        <w:spacing w:after="240" w:line="264" w:lineRule="exact"/>
        <w:ind w:left="20" w:right="20"/>
        <w:jc w:val="both"/>
      </w:pPr>
      <w:proofErr w:type="gramStart"/>
      <w:r>
        <w:t>U cilju zalaganja za unaprijeđeni prijedlog Zakona o digitalnim uslugama, prepoznajući poziciju Evropske unije kao globalnog trendsetera u internet zakonodavstvu, organizacije civi</w:t>
      </w:r>
      <w:r>
        <w:t>lnog društva iz cijelog sveta su u maju 2021.</w:t>
      </w:r>
      <w:proofErr w:type="gramEnd"/>
      <w:r>
        <w:t xml:space="preserve"> </w:t>
      </w:r>
      <w:proofErr w:type="gramStart"/>
      <w:r>
        <w:t>Godine formirale Alijansu za ljudska prava Zakona o digitalnim uslugama.</w:t>
      </w:r>
      <w:proofErr w:type="gramEnd"/>
      <w:r>
        <w:t xml:space="preserve"> Oni kažu da je njihova svrha da podrže EU u održavanju transparentnosti i odgovornosti, </w:t>
      </w:r>
      <w:proofErr w:type="gramStart"/>
      <w:r>
        <w:t>te</w:t>
      </w:r>
      <w:proofErr w:type="gramEnd"/>
      <w:r>
        <w:t xml:space="preserve"> uspostavljanju i promovisanju svjetskog standa</w:t>
      </w:r>
      <w:r>
        <w:t xml:space="preserve">rda za </w:t>
      </w:r>
      <w:r>
        <w:lastRenderedPageBreak/>
        <w:t xml:space="preserve">upravljanje platformom“. </w:t>
      </w:r>
      <w:proofErr w:type="gramStart"/>
      <w:r>
        <w:t>Koalicija uključuje Access Now, Centar za demokratiju i tehnologiju, Uniju građanskih sloboda za Evropu i druge organizacije.</w:t>
      </w:r>
      <w:proofErr w:type="gramEnd"/>
    </w:p>
    <w:p w:rsidR="00090571" w:rsidRDefault="00851FB1">
      <w:pPr>
        <w:pStyle w:val="BodyText9"/>
        <w:spacing w:after="240" w:line="264" w:lineRule="exact"/>
        <w:ind w:left="20" w:right="20"/>
        <w:jc w:val="both"/>
      </w:pPr>
      <w:proofErr w:type="gramStart"/>
      <w:r>
        <w:t>U svojoj zajedničkoj izjavi iz oktobra 2021.</w:t>
      </w:r>
      <w:proofErr w:type="gramEnd"/>
      <w:r>
        <w:t xml:space="preserve"> </w:t>
      </w:r>
      <w:proofErr w:type="gramStart"/>
      <w:r>
        <w:t>Godine</w:t>
      </w:r>
      <w:r w:rsidRPr="00090571">
        <w:rPr>
          <w:rStyle w:val="FootnoteReference"/>
        </w:rPr>
        <w:footnoteReference w:id="10"/>
      </w:r>
      <w:r>
        <w:t>, istakli su najvažnije probleme.</w:t>
      </w:r>
      <w:proofErr w:type="gramEnd"/>
      <w:r>
        <w:t xml:space="preserve"> Oni  sugerišu: a) da se izbjegnu nesrazmjerni zahtjevi prema manjim provajderima koji bi postavili korisnički pristup informacijama u ozbiljnu opasnost; b) da izbjegavaju zakonsk</w:t>
      </w:r>
      <w:r>
        <w:t xml:space="preserve">i propisane stroge i kratke vremenske okvire za uklanjanje sadržaja zbog njihovog štetnog uticaja na pravo na slobodu izražavanja i mišljenja; c) da ne nameću zakonski propisane automatizovane alate za moderiranje sadržaja na onlajn platformama, jer će to </w:t>
      </w:r>
      <w:r>
        <w:t>dovesti do pretjeranog uklanjanja legitimnog govora; g) da se izbjegne pomjeranje stanja obaveze zaštite  prava pojedinaca na onlajn platforme u privatnom vlasništvu, što im omogućava da djeluju kao kvazi-sudska tijela u onlajn ekosistemu bez ikakvog javno</w:t>
      </w:r>
      <w:r>
        <w:t>g nadzora; e) da ne nameće obavezna izvještavanja agencijama za sprovođenje zakona (LEA), posebno bez odgovarajućih mjera zaštite i zahtjeva o transparentnosti; f) da spriječi javne organe, uključujući LEA, da postanu pouzdani zaštitnici. Uslovi da postane</w:t>
      </w:r>
      <w:r>
        <w:t xml:space="preserve">te pouzdani zaštitinici moraju biti predmet redovnih pregleda i odgovarajućeg javnog nadzora; g) da razmotri obaveznu procjenu uticaja </w:t>
      </w:r>
      <w:proofErr w:type="gramStart"/>
      <w:r>
        <w:t>na</w:t>
      </w:r>
      <w:proofErr w:type="gramEnd"/>
      <w:r>
        <w:t xml:space="preserve"> ljudska prava kao primarni mehanizam za ispitivanje i ublažavanje sistemskih rizika koji proističu iz djelovanja platf</w:t>
      </w:r>
      <w:r>
        <w:t>ormi.</w:t>
      </w:r>
      <w:r w:rsidRPr="00090571">
        <w:rPr>
          <w:rStyle w:val="FootnoteReference"/>
        </w:rPr>
        <w:footnoteReference w:id="11"/>
      </w:r>
    </w:p>
    <w:p w:rsidR="00090571" w:rsidRDefault="00851FB1">
      <w:pPr>
        <w:pStyle w:val="BodyText9"/>
        <w:shd w:val="clear" w:color="auto" w:fill="auto"/>
        <w:spacing w:after="240" w:line="264" w:lineRule="exact"/>
        <w:ind w:left="20" w:right="20"/>
        <w:jc w:val="both"/>
      </w:pPr>
      <w:r>
        <w:t>Štaviše, pravni eksperti Savjeta Evrope</w:t>
      </w:r>
      <w:r w:rsidRPr="00090571">
        <w:rPr>
          <w:rStyle w:val="FootnoteReference"/>
        </w:rPr>
        <w:footnoteReference w:id="12"/>
      </w:r>
      <w:r>
        <w:t xml:space="preserve"> dovode u pitanje šta se kvalifikuje kao "nezakoniti sadržaj" u ZDS-u – da li se odnosi na sadržaj koji je nadležni organ već proglasio nezakonitim ili je bar već bio predmet konkretnih mjera prema odredbam</w:t>
      </w:r>
      <w:r>
        <w:t>a ZPP-a, odnosno ukazuje na predvidljivost da će tek biti proizvedene nezakonite informacije koje bi  mogle završiti širenjem putem pomenutih platformi. Oni takođe vide potrebu za zaštitnim mjerama koje imaju za cilj da izbjegnu nepotrebne i nesrazmjerne u</w:t>
      </w:r>
      <w:r>
        <w:t xml:space="preserve">ticaje </w:t>
      </w:r>
      <w:proofErr w:type="gramStart"/>
      <w:r>
        <w:t>na</w:t>
      </w:r>
      <w:proofErr w:type="gramEnd"/>
      <w:r>
        <w:rPr>
          <w:lang w:val="en-US"/>
        </w:rPr>
        <w:t xml:space="preserve"> </w:t>
      </w:r>
      <w:r>
        <w:t>ostvarivanje prava na slobodu izražavanja od strane korisnika i trećih lica (ni od samih platformi ni nadzornih organa). Odredba DSA o "namjernoj manipulaciji... uslugom, uključujući neautentično korišćenje ili automatizovanu eksploataciju usluge</w:t>
      </w:r>
      <w:r>
        <w:t xml:space="preserve">, sa stvarnim ili predvidivim negativnim efektom na zaštitu javnog zdravlja, maloljetnika, građanskog diskursa ili stvarnih ili predvidivih efekata koji se odnose na izborne procese i javnu bezbjednost, prema ekspertima za ljudska prava, jasno pokazuje da </w:t>
      </w:r>
      <w:r>
        <w:t>se platforme mogu suočiti sa zakonskom odgovornošću (koju nadziru javna tijela) da ograniče pristup zakonitom sadržaju (i stoga zaštićene slobodom izraz klauzule) koji se može smatrati "štetnim" pod vrlo nejasnim kriterijumima.</w:t>
      </w:r>
      <w:r w:rsidRPr="00090571">
        <w:rPr>
          <w:rStyle w:val="FootnoteReference"/>
        </w:rPr>
        <w:footnoteReference w:id="13"/>
      </w:r>
    </w:p>
    <w:p w:rsidR="00090571" w:rsidRDefault="00851FB1">
      <w:pPr>
        <w:pStyle w:val="BodyText9"/>
        <w:shd w:val="clear" w:color="auto" w:fill="auto"/>
        <w:spacing w:after="240" w:line="264" w:lineRule="exact"/>
        <w:ind w:left="20" w:right="20"/>
        <w:jc w:val="both"/>
      </w:pPr>
      <w:proofErr w:type="gramStart"/>
      <w:r>
        <w:t>U jesen 2021.</w:t>
      </w:r>
      <w:proofErr w:type="gramEnd"/>
      <w:r>
        <w:t xml:space="preserve"> </w:t>
      </w:r>
      <w:proofErr w:type="gramStart"/>
      <w:r>
        <w:t>godine</w:t>
      </w:r>
      <w:proofErr w:type="gramEnd"/>
      <w:r>
        <w:t xml:space="preserve">, mogućnost uvođenja </w:t>
      </w:r>
      <w:r>
        <w:t>amandmana o "medijskom izuzeću" na  predloženi Zakon o digitalnim uslugama je javno objavljena. To bi zabranilo platformama da "uklanjaju", "onemogućavaju pristup", "suspenduju" ili "ometaju" sadržaj štampanih publikacija ili "provajdera uredničkog sadržaj</w:t>
      </w:r>
      <w:r>
        <w:t xml:space="preserve">a". Drugim riječima, svaka organizacija koja redovno objavljuje o nekoj temi </w:t>
      </w:r>
      <w:proofErr w:type="gramStart"/>
      <w:r>
        <w:t>sa</w:t>
      </w:r>
      <w:proofErr w:type="gramEnd"/>
      <w:r>
        <w:t xml:space="preserve"> namjerom da pruži informacije javnosti bila bi izuzeta od </w:t>
      </w:r>
      <w:r>
        <w:lastRenderedPageBreak/>
        <w:t>moderacije ili kako je drugačije naznačeno izuzimajući "medije".</w:t>
      </w:r>
      <w:r w:rsidRPr="00090571">
        <w:rPr>
          <w:rStyle w:val="FootnoteReference"/>
        </w:rPr>
        <w:footnoteReference w:id="14"/>
      </w:r>
      <w:r>
        <w:t xml:space="preserve"> To je izazvalo reakciju novinara, fakt-čekera i istraživača dezinformacija poslanicima Evropskog parlamenta da odbace takav amandman jer on "prijeti da bude kor</w:t>
      </w:r>
      <w:r>
        <w:t xml:space="preserve">ak unazad </w:t>
      </w:r>
      <w:proofErr w:type="gramStart"/>
      <w:r>
        <w:t>od</w:t>
      </w:r>
      <w:proofErr w:type="gramEnd"/>
      <w:r>
        <w:t xml:space="preserve"> statusa kvo, godine nazadovanja u borbi protiv govora mržnje i dezinformacija na internetu.</w:t>
      </w:r>
      <w:r w:rsidRPr="00090571">
        <w:rPr>
          <w:rStyle w:val="FootnoteReference"/>
        </w:rPr>
        <w:footnoteReference w:id="15"/>
      </w:r>
    </w:p>
    <w:p w:rsidR="00090571" w:rsidRDefault="00851FB1">
      <w:pPr>
        <w:pStyle w:val="BodyText9"/>
        <w:numPr>
          <w:ilvl w:val="0"/>
          <w:numId w:val="2"/>
        </w:numPr>
        <w:shd w:val="clear" w:color="auto" w:fill="auto"/>
        <w:spacing w:after="240" w:line="264" w:lineRule="exact"/>
        <w:ind w:right="20"/>
        <w:jc w:val="both"/>
        <w:rPr>
          <w:b/>
          <w:bCs/>
        </w:rPr>
      </w:pPr>
      <w:r>
        <w:rPr>
          <w:b/>
          <w:bCs/>
        </w:rPr>
        <w:t>EU: Direktive za audiovizuelne medijske usluge (2018)</w:t>
      </w:r>
    </w:p>
    <w:p w:rsidR="00090571" w:rsidRDefault="00851FB1">
      <w:pPr>
        <w:pStyle w:val="BodyText9"/>
        <w:spacing w:after="240" w:line="264" w:lineRule="exact"/>
        <w:ind w:left="20" w:right="20"/>
        <w:jc w:val="both"/>
      </w:pPr>
      <w:r>
        <w:t>Por</w:t>
      </w:r>
      <w:r>
        <w:t xml:space="preserve">ed zabrane izazivanja mržnje </w:t>
      </w:r>
      <w:proofErr w:type="gramStart"/>
      <w:r>
        <w:t>na</w:t>
      </w:r>
      <w:proofErr w:type="gramEnd"/>
      <w:r>
        <w:t xml:space="preserve"> osnovu rase, pola, vjere ili nacionalnosti u audiovizuelnim medijskim uslugama (televizijskim emitovanjem ili na zahtjev), što je već navedeno u Direktivi o audiovizuelnim medijskim uslugama iz 2010. godine, revidirana Direk</w:t>
      </w:r>
      <w:r>
        <w:t>tiva</w:t>
      </w:r>
      <w:r w:rsidRPr="00090571">
        <w:rPr>
          <w:rStyle w:val="FootnoteReference"/>
        </w:rPr>
        <w:footnoteReference w:id="16"/>
      </w:r>
      <w:r>
        <w:t xml:space="preserve"> o audiovizuelnim medijskim uslugama (2018)</w:t>
      </w:r>
      <w:r w:rsidRPr="00090571">
        <w:rPr>
          <w:rStyle w:val="FootnoteReference"/>
        </w:rPr>
        <w:footnoteReference w:id="17"/>
      </w:r>
      <w:r>
        <w:t xml:space="preserve"> proširuje definiciju osnova za mržnju te  uključuje "bilo koji osnov kao što je pol, rasa, boja, etničko ili socijalno porije</w:t>
      </w:r>
      <w:r>
        <w:t xml:space="preserve">klo, genetske karakteristike, jezik, vjera ili uvjerenje, političko ili bilo koje drugo mišljenje, pripadnost nacionalnoj manjini, imovina , rođenje, invaliditet, godine ili seksualna orijentacija" (pozivajući se na član 21. </w:t>
      </w:r>
      <w:proofErr w:type="gramStart"/>
      <w:r>
        <w:t>Povelje o osnovnim pravima Evro</w:t>
      </w:r>
      <w:r>
        <w:t>pske unije).</w:t>
      </w:r>
      <w:proofErr w:type="gramEnd"/>
    </w:p>
    <w:p w:rsidR="00090571" w:rsidRDefault="00851FB1">
      <w:pPr>
        <w:pStyle w:val="BodyText9"/>
        <w:spacing w:after="240" w:line="264" w:lineRule="exact"/>
        <w:ind w:left="20" w:right="20"/>
        <w:jc w:val="both"/>
      </w:pPr>
      <w:proofErr w:type="gramStart"/>
      <w:r>
        <w:t>Štaviše, AVMSD iz 2018.</w:t>
      </w:r>
      <w:proofErr w:type="gramEnd"/>
      <w:r>
        <w:t xml:space="preserve"> proširuje djelokrug uredbe – pored televizijskog emitovanja i audiovizuelnih medijskih usluga na zahtjev – na još jednu kategoriju onlajn platformi, platforme za dijeljenje video sadržaja Prema Direktivi, platforme za d</w:t>
      </w:r>
      <w:r>
        <w:t>ijeljenje video sadržaja treba da budu predmet odgovarajućih i proporcionalnih mjera država članica EU, po mogućnosti kroz koregulaciju, kako bi se šira javnost zaštitila od nelegalnog sadržaja kao što je govor mržnje (podsticanje na nasilje ili mržnju). )</w:t>
      </w:r>
      <w:r>
        <w:t xml:space="preserve">. </w:t>
      </w:r>
      <w:proofErr w:type="gramStart"/>
      <w:r>
        <w:t>Te mjere moraju biti odgovarajuće u svijetlu prirode sadržaja, kategorije osoba koje treba zaštititi i prava i legitimnih interesa koja su u pitanju i biti srazmjerne uzimajući u obzir veličinu platformi i prirodu pružene usluge.</w:t>
      </w:r>
      <w:proofErr w:type="gramEnd"/>
      <w:r w:rsidRPr="00090571">
        <w:rPr>
          <w:rStyle w:val="FootnoteReference"/>
        </w:rPr>
        <w:footnoteReference w:id="18"/>
      </w:r>
    </w:p>
    <w:p w:rsidR="00090571" w:rsidRDefault="00851FB1">
      <w:pPr>
        <w:pStyle w:val="BodyText9"/>
        <w:spacing w:after="240" w:line="264" w:lineRule="exact"/>
        <w:ind w:left="20" w:right="20"/>
        <w:jc w:val="both"/>
      </w:pPr>
      <w:r>
        <w:t xml:space="preserve">Kao što su naglasili Vidgen, Burden i Margetts </w:t>
      </w:r>
      <w:proofErr w:type="gramStart"/>
      <w:r>
        <w:t>sa</w:t>
      </w:r>
      <w:proofErr w:type="gramEnd"/>
      <w:r>
        <w:t xml:space="preserve"> Instituta Alan Turing, ove odredbe dovode onlajn platforme za dijeljenje videa u sklad sa postojećim zahtjevima za tradicionalno televizijsko emitovanje i platforme za video</w:t>
      </w:r>
      <w:r>
        <w:t xml:space="preserve"> na zahtjev.</w:t>
      </w:r>
      <w:r w:rsidRPr="00090571">
        <w:rPr>
          <w:rStyle w:val="FootnoteReference"/>
        </w:rPr>
        <w:footnoteReference w:id="19"/>
      </w:r>
      <w:r>
        <w:t xml:space="preserve"> </w:t>
      </w:r>
      <w:proofErr w:type="gramStart"/>
      <w:r>
        <w:t>AVMSD iz 2018.</w:t>
      </w:r>
      <w:proofErr w:type="gramEnd"/>
      <w:r>
        <w:t xml:space="preserve"> </w:t>
      </w:r>
      <w:proofErr w:type="gramStart"/>
      <w:r>
        <w:t>postavlja</w:t>
      </w:r>
      <w:proofErr w:type="gramEnd"/>
      <w:r>
        <w:t xml:space="preserve"> minimalne zahtjeve za onlajn platforme za uklanjanje nelegalnog govora  mržnje n</w:t>
      </w:r>
      <w:r>
        <w:t xml:space="preserve">a mreži i stvara im prostor za borbu protiv mržnje koja je legalna, ali krši njihove Uslove korišćenja usluge. Kao takav, vjerovatno </w:t>
      </w:r>
      <w:proofErr w:type="gramStart"/>
      <w:r>
        <w:t>će</w:t>
      </w:r>
      <w:proofErr w:type="gramEnd"/>
      <w:r>
        <w:t xml:space="preserve"> najviše uticati na manje i manje dobro moderirane platforme, a ne na veće platforme koje se već bave ovim sadržajem.</w:t>
      </w:r>
      <w:r w:rsidRPr="00090571">
        <w:rPr>
          <w:rStyle w:val="FootnoteReference"/>
        </w:rPr>
        <w:footnoteReference w:id="20"/>
      </w:r>
    </w:p>
    <w:p w:rsidR="00090571" w:rsidRDefault="00851FB1">
      <w:pPr>
        <w:pStyle w:val="BodyText9"/>
        <w:shd w:val="clear" w:color="auto" w:fill="auto"/>
        <w:spacing w:after="240" w:line="264" w:lineRule="exact"/>
        <w:ind w:left="20" w:right="20"/>
        <w:jc w:val="both"/>
      </w:pPr>
      <w:r>
        <w:t xml:space="preserve">U svom izvještaju koji je naručio britanski regulator Ofcom u kontekstu zahtjeva revidirane Direktive o audiovizuelnim medijskim uslugama za platforme za dijeljenje videa, Vidgen, </w:t>
      </w:r>
      <w:r>
        <w:lastRenderedPageBreak/>
        <w:t xml:space="preserve">Burden i Margetts predlažu četiri ključna koraka za stvaranje sistema </w:t>
      </w:r>
      <w:r>
        <w:t xml:space="preserve">moderiranja za borbu protiv mržnje </w:t>
      </w:r>
      <w:proofErr w:type="gramStart"/>
      <w:r>
        <w:t>na</w:t>
      </w:r>
      <w:proofErr w:type="gramEnd"/>
      <w:r>
        <w:t xml:space="preserve"> mreži:</w:t>
      </w:r>
    </w:p>
    <w:p w:rsidR="00090571" w:rsidRDefault="00851FB1">
      <w:pPr>
        <w:pStyle w:val="BodyText9"/>
        <w:numPr>
          <w:ilvl w:val="0"/>
          <w:numId w:val="3"/>
        </w:numPr>
        <w:shd w:val="clear" w:color="auto" w:fill="auto"/>
        <w:spacing w:line="264" w:lineRule="exact"/>
        <w:ind w:right="20"/>
        <w:jc w:val="both"/>
      </w:pPr>
      <w:r>
        <w:t>Okarakterišite mržnju na mreži</w:t>
      </w:r>
    </w:p>
    <w:p w:rsidR="00090571" w:rsidRDefault="00851FB1">
      <w:pPr>
        <w:pStyle w:val="BodyText9"/>
        <w:spacing w:after="363" w:line="264" w:lineRule="exact"/>
        <w:jc w:val="both"/>
      </w:pPr>
      <w:r>
        <w:t xml:space="preserve">Prvo, platforme treba da pruže jasan prikaz mržnje </w:t>
      </w:r>
      <w:proofErr w:type="gramStart"/>
      <w:r>
        <w:t>na</w:t>
      </w:r>
      <w:proofErr w:type="gramEnd"/>
      <w:r>
        <w:t xml:space="preserve"> mreži, jasno utvrđujući gdje je granica između mržnje i ne-mržnje </w:t>
      </w:r>
    </w:p>
    <w:p w:rsidR="00090571" w:rsidRDefault="00851FB1">
      <w:pPr>
        <w:pStyle w:val="BodyText9"/>
        <w:numPr>
          <w:ilvl w:val="0"/>
          <w:numId w:val="3"/>
        </w:numPr>
        <w:spacing w:after="363" w:line="264" w:lineRule="exact"/>
        <w:jc w:val="both"/>
      </w:pPr>
      <w:r>
        <w:t xml:space="preserve">Identifikujte mržnju na mreži </w:t>
      </w:r>
    </w:p>
    <w:p w:rsidR="00090571" w:rsidRDefault="00851FB1">
      <w:pPr>
        <w:pStyle w:val="BodyText9"/>
        <w:spacing w:after="363" w:line="264" w:lineRule="exact"/>
        <w:jc w:val="both"/>
      </w:pPr>
      <w:proofErr w:type="gramStart"/>
      <w:r>
        <w:t xml:space="preserve">Drugo, platforme treba da </w:t>
      </w:r>
      <w:r>
        <w:t>razviju strategije da identifikuje mržnju.</w:t>
      </w:r>
      <w:proofErr w:type="gramEnd"/>
      <w:r>
        <w:t xml:space="preserve"> Tri plana čine osnovu većine procesa moderiranja sadržaja za identifikaciju mržnje </w:t>
      </w:r>
      <w:proofErr w:type="gramStart"/>
      <w:r>
        <w:t>na</w:t>
      </w:r>
      <w:proofErr w:type="gramEnd"/>
      <w:r>
        <w:t xml:space="preserve"> mreži: korisnički izvještaji, vještačka inteligencija (AI) i pregled od strane ljudi.</w:t>
      </w:r>
    </w:p>
    <w:p w:rsidR="00090571" w:rsidRDefault="00851FB1">
      <w:pPr>
        <w:pStyle w:val="BodyText9"/>
        <w:numPr>
          <w:ilvl w:val="0"/>
          <w:numId w:val="3"/>
        </w:numPr>
        <w:spacing w:after="363" w:line="264" w:lineRule="exact"/>
        <w:jc w:val="both"/>
      </w:pPr>
      <w:r>
        <w:t xml:space="preserve">Riješite mržnju </w:t>
      </w:r>
      <w:proofErr w:type="gramStart"/>
      <w:r>
        <w:t>na</w:t>
      </w:r>
      <w:proofErr w:type="gramEnd"/>
      <w:r>
        <w:t xml:space="preserve"> mreži.</w:t>
      </w:r>
    </w:p>
    <w:p w:rsidR="00090571" w:rsidRDefault="00851FB1">
      <w:pPr>
        <w:pStyle w:val="BodyText9"/>
        <w:spacing w:after="363" w:line="264" w:lineRule="exact"/>
        <w:ind w:left="20"/>
        <w:jc w:val="both"/>
      </w:pPr>
      <w:r>
        <w:t xml:space="preserve"> </w:t>
      </w:r>
      <w:proofErr w:type="gramStart"/>
      <w:r>
        <w:t>Treće, sadržaj</w:t>
      </w:r>
      <w:r>
        <w:t xml:space="preserve"> koji je identifikovan kao mržnja mora biti tretiran intervencijom.</w:t>
      </w:r>
      <w:proofErr w:type="gramEnd"/>
      <w:r>
        <w:t xml:space="preserve"> Javni diskurs se često fokusira </w:t>
      </w:r>
      <w:proofErr w:type="gramStart"/>
      <w:r>
        <w:t>na</w:t>
      </w:r>
      <w:proofErr w:type="gramEnd"/>
      <w:r>
        <w:t xml:space="preserve"> efekte zabrana, ali u praksi platforme koriste mnoge druge intervencije. Vidgen, Burden i Margetts su identifikovali 14 strategija moderiranja dostupnih </w:t>
      </w:r>
      <w:r>
        <w:t>platformama za dijeljenje videa</w:t>
      </w:r>
      <w:r w:rsidRPr="00090571">
        <w:rPr>
          <w:rStyle w:val="FootnoteReference"/>
        </w:rPr>
        <w:footnoteReference w:id="21"/>
      </w:r>
      <w:r>
        <w:t xml:space="preserve">, </w:t>
      </w:r>
      <w:proofErr w:type="gramStart"/>
      <w:r>
        <w:t>od</w:t>
      </w:r>
      <w:proofErr w:type="gramEnd"/>
      <w:r>
        <w:t xml:space="preserve"> kojih svaka nameće različite nivoe trvenja na aktivnost korisnika. Oni se kreću </w:t>
      </w:r>
      <w:proofErr w:type="gramStart"/>
      <w:r>
        <w:t>od</w:t>
      </w:r>
      <w:proofErr w:type="gramEnd"/>
      <w:r>
        <w:t xml:space="preserve"> ograničenja z</w:t>
      </w:r>
      <w:r>
        <w:t xml:space="preserve">a hostovanje, kao što je zabrana ili suspendovanje korisnika i njihovog sadržaja, do ograničenja angažovanja, kao što je ograničavanje broja puta koje korisnici mogu da “lajkuju” ili komentarišu sadržaj. Nametanje bilo kakvog trvenja rizikuje da utiče </w:t>
      </w:r>
      <w:proofErr w:type="gramStart"/>
      <w:r>
        <w:t>na</w:t>
      </w:r>
      <w:proofErr w:type="gramEnd"/>
      <w:r>
        <w:t xml:space="preserve"> k</w:t>
      </w:r>
      <w:r>
        <w:t>orisničku slobodu izražavanja i privatnost, i važno je da stepen neslaganja uvijek bude srazmjeran šteti koja će vjerovatno biti nanijeta.</w:t>
      </w:r>
    </w:p>
    <w:p w:rsidR="00090571" w:rsidRDefault="00851FB1">
      <w:pPr>
        <w:pStyle w:val="BodyText9"/>
        <w:numPr>
          <w:ilvl w:val="0"/>
          <w:numId w:val="3"/>
        </w:numPr>
        <w:shd w:val="clear" w:color="auto" w:fill="auto"/>
        <w:spacing w:after="363" w:line="264" w:lineRule="exact"/>
        <w:jc w:val="both"/>
      </w:pPr>
      <w:r>
        <w:t xml:space="preserve">Omogućiti korisnicima da se žale na odluke </w:t>
      </w:r>
    </w:p>
    <w:p w:rsidR="00090571" w:rsidRDefault="00851FB1">
      <w:pPr>
        <w:pStyle w:val="BodyText9"/>
        <w:shd w:val="clear" w:color="auto" w:fill="auto"/>
        <w:spacing w:after="363" w:line="264" w:lineRule="exact"/>
        <w:ind w:left="20"/>
        <w:jc w:val="both"/>
      </w:pPr>
      <w:proofErr w:type="gramStart"/>
      <w:r>
        <w:t>Četvrto, onlajn platforme treba da kreiraju robustan i pristupačan postup</w:t>
      </w:r>
      <w:r>
        <w:t>ak pregleda tako da korisnici mogu da osporavaju odluke o moderiranju.</w:t>
      </w:r>
      <w:proofErr w:type="gramEnd"/>
      <w:r w:rsidRPr="00090571">
        <w:rPr>
          <w:rStyle w:val="FootnoteReference"/>
        </w:rPr>
        <w:footnoteReference w:id="22"/>
      </w:r>
    </w:p>
    <w:p w:rsidR="00090571" w:rsidRDefault="00090571">
      <w:pPr>
        <w:pStyle w:val="BodyText9"/>
        <w:shd w:val="clear" w:color="auto" w:fill="auto"/>
        <w:spacing w:after="240" w:line="264" w:lineRule="exact"/>
        <w:ind w:right="20"/>
        <w:jc w:val="both"/>
      </w:pPr>
    </w:p>
    <w:p w:rsidR="00090571" w:rsidRDefault="00090571">
      <w:pPr>
        <w:pStyle w:val="BodyText9"/>
        <w:tabs>
          <w:tab w:val="left" w:pos="1069"/>
        </w:tabs>
        <w:spacing w:after="240" w:line="264" w:lineRule="exact"/>
        <w:ind w:right="2660"/>
        <w:jc w:val="both"/>
      </w:pPr>
    </w:p>
    <w:p w:rsidR="00090571" w:rsidRDefault="00851FB1">
      <w:pPr>
        <w:pStyle w:val="BodyText9"/>
        <w:numPr>
          <w:ilvl w:val="1"/>
          <w:numId w:val="2"/>
        </w:numPr>
        <w:spacing w:after="240" w:line="264" w:lineRule="exact"/>
        <w:ind w:right="2660"/>
        <w:jc w:val="both"/>
        <w:rPr>
          <w:b/>
          <w:bCs/>
        </w:rPr>
      </w:pPr>
      <w:r>
        <w:rPr>
          <w:b/>
          <w:bCs/>
        </w:rPr>
        <w:t>IZAZOVI I KRITIČKI STAVOVI</w:t>
      </w:r>
    </w:p>
    <w:p w:rsidR="00090571" w:rsidRDefault="00851FB1">
      <w:pPr>
        <w:pStyle w:val="BodyText9"/>
        <w:shd w:val="clear" w:color="auto" w:fill="auto"/>
        <w:spacing w:line="264" w:lineRule="exact"/>
        <w:jc w:val="both"/>
      </w:pPr>
      <w:r>
        <w:t xml:space="preserve">U postupku usvajanja Direktive o audiovizuelnim medijskim uslugama iz 2018, Unija građanskih sloboda za Evropu (Liberties) izrazila je zabrinutost </w:t>
      </w:r>
      <w:r>
        <w:t xml:space="preserve">da </w:t>
      </w:r>
      <w:proofErr w:type="gramStart"/>
      <w:r>
        <w:t>će</w:t>
      </w:r>
      <w:proofErr w:type="gramEnd"/>
      <w:r>
        <w:t xml:space="preserve"> sloboda izražavanja biti neopravdano ograničena Direktivom. Oni su kritikovali prošireni opseg direktive, sugerišući da platforme za dijeljenje videa, kao i audiovizuelne medijske usluge </w:t>
      </w:r>
      <w:proofErr w:type="gramStart"/>
      <w:r>
        <w:t>na</w:t>
      </w:r>
      <w:proofErr w:type="gramEnd"/>
      <w:r>
        <w:t xml:space="preserve"> zahtjev, treba da budu regulisane Direktivom o elektronskoj </w:t>
      </w:r>
      <w:r>
        <w:t xml:space="preserve">trgovini (ECD). Prema njihovim riječima, ECD ima bolje izbalansiran režim i </w:t>
      </w:r>
      <w:proofErr w:type="gramStart"/>
      <w:r>
        <w:t>dobro</w:t>
      </w:r>
      <w:proofErr w:type="gramEnd"/>
      <w:r>
        <w:t xml:space="preserve"> razrađen metod za uklanjanje problematičnog sadržaja. "Pravila na </w:t>
      </w:r>
      <w:r>
        <w:lastRenderedPageBreak/>
        <w:t>snazi u okviru ECD-</w:t>
      </w:r>
      <w:proofErr w:type="gramStart"/>
      <w:r>
        <w:t>a  vjerovatnije</w:t>
      </w:r>
      <w:proofErr w:type="gramEnd"/>
      <w:r>
        <w:t xml:space="preserve">  da će  dovesti do ograničenja slobode izražavanja koja će biti proporcio</w:t>
      </w:r>
      <w:r>
        <w:t>nalna."</w:t>
      </w:r>
      <w:r w:rsidRPr="00090571">
        <w:rPr>
          <w:rStyle w:val="FootnoteReference"/>
        </w:rPr>
        <w:footnoteReference w:id="23"/>
      </w:r>
      <w:r>
        <w:t xml:space="preserve"> U vezi sa koregulatornim i samoregulatornim mjerama protiv govora mržnje, Liberties je pozvao da " ovo bi stvorilo lak način za cenzuru koris</w:t>
      </w:r>
      <w:r>
        <w:t xml:space="preserve">ničkog sadržaja </w:t>
      </w:r>
      <w:proofErr w:type="gramStart"/>
      <w:r>
        <w:t>bez  pravnih</w:t>
      </w:r>
      <w:proofErr w:type="gramEnd"/>
      <w:r>
        <w:t xml:space="preserve"> mjera zaštite i pravnih ljekova. </w:t>
      </w:r>
      <w:proofErr w:type="gramStart"/>
      <w:r>
        <w:t>Stvaranje mogućnosti samoregulacije i koregulacije bez odgovarajuće državne regulacije rezultiraće neopravdanim ograničenjima."</w:t>
      </w:r>
      <w:proofErr w:type="gramEnd"/>
      <w:r w:rsidRPr="00090571">
        <w:rPr>
          <w:rStyle w:val="FootnoteReference"/>
        </w:rPr>
        <w:footnoteReference w:id="24"/>
      </w:r>
    </w:p>
    <w:p w:rsidR="00090571" w:rsidRDefault="00090571">
      <w:pPr>
        <w:pStyle w:val="BodyText9"/>
        <w:shd w:val="clear" w:color="auto" w:fill="auto"/>
        <w:spacing w:line="264" w:lineRule="exact"/>
        <w:jc w:val="both"/>
      </w:pPr>
    </w:p>
    <w:p w:rsidR="00090571" w:rsidRDefault="00851FB1">
      <w:pPr>
        <w:pStyle w:val="BodyText9"/>
        <w:numPr>
          <w:ilvl w:val="0"/>
          <w:numId w:val="2"/>
        </w:numPr>
        <w:shd w:val="clear" w:color="auto" w:fill="auto"/>
        <w:spacing w:line="264" w:lineRule="exact"/>
        <w:jc w:val="both"/>
        <w:rPr>
          <w:b/>
          <w:bCs/>
        </w:rPr>
      </w:pPr>
      <w:r>
        <w:rPr>
          <w:b/>
          <w:bCs/>
        </w:rPr>
        <w:t>EU: KODEKS PONAŠANJA U BORBI PROTIV NELEGALNOG GOVORA MR</w:t>
      </w:r>
      <w:r>
        <w:rPr>
          <w:b/>
          <w:bCs/>
        </w:rPr>
        <w:t>ŽNJE NA INTERNETU (2016)</w:t>
      </w:r>
    </w:p>
    <w:p w:rsidR="00090571" w:rsidRDefault="00851FB1">
      <w:pPr>
        <w:pStyle w:val="BodyText9"/>
        <w:spacing w:before="317" w:after="240" w:line="264" w:lineRule="exact"/>
        <w:ind w:right="20"/>
        <w:jc w:val="both"/>
      </w:pPr>
      <w:r>
        <w:t xml:space="preserve">Kodeks ponašanja za borbu protiv nelegalnog govora mržnje </w:t>
      </w:r>
      <w:proofErr w:type="gramStart"/>
      <w:r>
        <w:t>na</w:t>
      </w:r>
      <w:proofErr w:type="gramEnd"/>
      <w:r>
        <w:t xml:space="preserve"> mreži</w:t>
      </w:r>
      <w:r w:rsidRPr="00090571">
        <w:rPr>
          <w:rStyle w:val="FootnoteReference"/>
        </w:rPr>
        <w:footnoteReference w:id="25"/>
      </w:r>
      <w:r>
        <w:t xml:space="preserve"> je samoregulatorni mehanizam koji je uspostavila Evr</w:t>
      </w:r>
      <w:r>
        <w:t xml:space="preserve">opska unija da odgovori na proliferaciju rasističkog i ksenofobičnog govora mržnje na mreži. </w:t>
      </w:r>
      <w:proofErr w:type="gramStart"/>
      <w:r>
        <w:t>Kodeks ponašanja EU je donijet 31.</w:t>
      </w:r>
      <w:proofErr w:type="gramEnd"/>
      <w:r>
        <w:t xml:space="preserve"> </w:t>
      </w:r>
      <w:proofErr w:type="gramStart"/>
      <w:r>
        <w:t>maja</w:t>
      </w:r>
      <w:proofErr w:type="gramEnd"/>
      <w:r>
        <w:t xml:space="preserve"> 2016. </w:t>
      </w:r>
      <w:proofErr w:type="gramStart"/>
      <w:r>
        <w:t>kako</w:t>
      </w:r>
      <w:proofErr w:type="gramEnd"/>
      <w:r>
        <w:t xml:space="preserve"> bi se osiguralo da velike IT kompanije brzo rješavaju zahtjeve za uklanjanje rasističkog i ksenofobičnog interne</w:t>
      </w:r>
      <w:r>
        <w:t xml:space="preserve">t sadržaja. Evropska komisija je pokrenula Kodeks ponašanja zajedno </w:t>
      </w:r>
      <w:proofErr w:type="gramStart"/>
      <w:r>
        <w:t>sa</w:t>
      </w:r>
      <w:proofErr w:type="gramEnd"/>
      <w:r>
        <w:t xml:space="preserve"> četiri velike IT kompanije (Facebook, Microsoft, Twitter i YouTube). Do </w:t>
      </w:r>
      <w:proofErr w:type="gramStart"/>
      <w:r>
        <w:t>danas</w:t>
      </w:r>
      <w:proofErr w:type="gramEnd"/>
      <w:r>
        <w:t>, deset kompanija se pridržavalo Kodeksa: pored prve grupe, Instagram, Dailimotion i Snapchat su takođe prid</w:t>
      </w:r>
      <w:r>
        <w:t>ružili mehanizam 2018, Jeukvideo.com 2019, TikTok 2020 i LinkedIn 2021.</w:t>
      </w:r>
      <w:r w:rsidRPr="00090571">
        <w:rPr>
          <w:rStyle w:val="FootnoteReference"/>
        </w:rPr>
        <w:footnoteReference w:id="26"/>
      </w:r>
      <w:r>
        <w:t xml:space="preserve">  Implementacija Kodeksa ponašanja zasniva se </w:t>
      </w:r>
      <w:proofErr w:type="gramStart"/>
      <w:r>
        <w:t>na</w:t>
      </w:r>
      <w:proofErr w:type="gramEnd"/>
      <w:r>
        <w:t xml:space="preserve"> saradnji koja uključuje Evropsku komisiju, IT platforme, organizacije civilnog društva i nacionalne vlasti.</w:t>
      </w:r>
    </w:p>
    <w:p w:rsidR="00090571" w:rsidRDefault="00851FB1">
      <w:pPr>
        <w:pStyle w:val="BodyText9"/>
        <w:spacing w:before="317" w:after="240" w:line="264" w:lineRule="exact"/>
        <w:ind w:left="40" w:right="20"/>
        <w:jc w:val="both"/>
      </w:pPr>
      <w:proofErr w:type="gramStart"/>
      <w:r>
        <w:t>Kako to funkcioniše?</w:t>
      </w:r>
      <w:proofErr w:type="gramEnd"/>
      <w:r>
        <w:t xml:space="preserve"> Kada IT ko</w:t>
      </w:r>
      <w:r>
        <w:t xml:space="preserve">mpanije dobiju zahtjev da uklone sadržaj </w:t>
      </w:r>
      <w:proofErr w:type="gramStart"/>
      <w:r>
        <w:t>sa</w:t>
      </w:r>
      <w:proofErr w:type="gramEnd"/>
      <w:r>
        <w:t xml:space="preserve"> svoje onlajn platforme za koji se smatra da je nezakonit, one procjenjuju da li je ovaj zahtjev u suprotnosti sa njihovim pravilima i smjernicama zajednice i, gdje je potrebno, nacionalnim zakonima koji transponu</w:t>
      </w:r>
      <w:r>
        <w:t xml:space="preserve">ju zakon EU o borbi protiv rasizma i ksenofobije. Kompanije se obavezuju da </w:t>
      </w:r>
      <w:proofErr w:type="gramStart"/>
      <w:r>
        <w:t>će</w:t>
      </w:r>
      <w:proofErr w:type="gramEnd"/>
      <w:r>
        <w:t xml:space="preserve"> većinu ovih zahtjeva razmotriti za manje od 24 sata i po potrebi ukloniti sadržaj, poštujući fundamentalni princip slobode govora.</w:t>
      </w:r>
    </w:p>
    <w:p w:rsidR="00090571" w:rsidRDefault="00851FB1">
      <w:pPr>
        <w:pStyle w:val="BodyText9"/>
        <w:spacing w:before="317" w:after="240" w:line="264" w:lineRule="exact"/>
        <w:ind w:left="40" w:right="20"/>
        <w:jc w:val="both"/>
      </w:pPr>
      <w:r>
        <w:t>Implementacija Kodeksa se ocjenjuje kroz v</w:t>
      </w:r>
      <w:r>
        <w:rPr>
          <w:lang w:val="en-US"/>
        </w:rPr>
        <w:t>j</w:t>
      </w:r>
      <w:r>
        <w:t>ežb</w:t>
      </w:r>
      <w:r>
        <w:t xml:space="preserve">u praćenja </w:t>
      </w:r>
      <w:proofErr w:type="gramStart"/>
      <w:r>
        <w:t>od</w:t>
      </w:r>
      <w:proofErr w:type="gramEnd"/>
      <w:r>
        <w:t xml:space="preserve"> strane mreže organizacija civilnog društva koje se nalaze u različitim zemljama EU. </w:t>
      </w:r>
      <w:proofErr w:type="gramStart"/>
      <w:r>
        <w:t>Koristeći zajednički dogovorenu metodologiju, ove organizacije testiraju kako IT kompanije primjenjuju Kodeks u praksi.</w:t>
      </w:r>
      <w:proofErr w:type="gramEnd"/>
      <w:r>
        <w:t xml:space="preserve"> Oni to rade tako što redovno šalju IT </w:t>
      </w:r>
      <w:r>
        <w:t xml:space="preserve">kompanijama zahtjeve za uklanjanje sadržaja i bilježe koliko vremena je IT kompanijama potrebno da procijene zahtjev, kakvi su rezultati i povratne informacije koje dobijaju </w:t>
      </w:r>
      <w:proofErr w:type="gramStart"/>
      <w:r>
        <w:t>od</w:t>
      </w:r>
      <w:proofErr w:type="gramEnd"/>
      <w:r>
        <w:t xml:space="preserve"> kompanija.</w:t>
      </w:r>
    </w:p>
    <w:p w:rsidR="00090571" w:rsidRDefault="00851FB1">
      <w:pPr>
        <w:pStyle w:val="BodyText9"/>
        <w:shd w:val="clear" w:color="auto" w:fill="auto"/>
        <w:spacing w:after="240" w:line="264" w:lineRule="exact"/>
        <w:ind w:left="40" w:right="20"/>
        <w:jc w:val="both"/>
      </w:pPr>
      <w:proofErr w:type="gramStart"/>
      <w:r>
        <w:t>Između 2016.</w:t>
      </w:r>
      <w:proofErr w:type="gramEnd"/>
      <w:r>
        <w:t xml:space="preserve"> </w:t>
      </w:r>
      <w:proofErr w:type="gramStart"/>
      <w:r>
        <w:t>i</w:t>
      </w:r>
      <w:proofErr w:type="gramEnd"/>
      <w:r>
        <w:t xml:space="preserve"> 2020. Kodeks ponašanja je ostvarivao kontinuirani nap</w:t>
      </w:r>
      <w:r>
        <w:t xml:space="preserve">redak: 2020. </w:t>
      </w:r>
      <w:proofErr w:type="gramStart"/>
      <w:r>
        <w:t>godine</w:t>
      </w:r>
      <w:proofErr w:type="gramEnd"/>
      <w:r>
        <w:t xml:space="preserve"> kompanije su u prosjeku proc</w:t>
      </w:r>
      <w:r>
        <w:rPr>
          <w:lang w:val="en-US"/>
        </w:rPr>
        <w:t>j</w:t>
      </w:r>
      <w:r>
        <w:t>enile 90% označenog sadržaja u roku od 24 sata, a 71% sadržaja za koji se smatralo da je nezakonit govor mržnje, uklonjen je.  Međutim, šesta evaluacija Kodeksa ponašanja za suzbijanje nelegalnog govora mržn</w:t>
      </w:r>
      <w:r>
        <w:t xml:space="preserve">je </w:t>
      </w:r>
      <w:proofErr w:type="gramStart"/>
      <w:r>
        <w:t>na</w:t>
      </w:r>
      <w:proofErr w:type="gramEnd"/>
      <w:r>
        <w:t xml:space="preserve"> mreži, sprovedena 2021. </w:t>
      </w:r>
      <w:proofErr w:type="gramStart"/>
      <w:r>
        <w:t>godine</w:t>
      </w:r>
      <w:proofErr w:type="gramEnd"/>
      <w:r>
        <w:t>, pokazuje da, iako je prosjek obavještenja pregledanih u roku od 24 sata i dalje visok (81%), smanjen je u poređenju sa 2020. (90</w:t>
      </w:r>
      <w:proofErr w:type="gramStart"/>
      <w:r>
        <w:t>,4</w:t>
      </w:r>
      <w:proofErr w:type="gramEnd"/>
      <w:r>
        <w:t>%). Sa 62</w:t>
      </w:r>
      <w:proofErr w:type="gramStart"/>
      <w:r>
        <w:t>,5</w:t>
      </w:r>
      <w:proofErr w:type="gramEnd"/>
      <w:r>
        <w:t xml:space="preserve">% prosječna stopa uklanjanja je takođe bila niža nego u 2019. </w:t>
      </w:r>
      <w:proofErr w:type="gramStart"/>
      <w:r>
        <w:t>i</w:t>
      </w:r>
      <w:proofErr w:type="gramEnd"/>
      <w:r>
        <w:t xml:space="preserve"> 2020. Međutim</w:t>
      </w:r>
      <w:r>
        <w:t xml:space="preserve">, kada je riječ </w:t>
      </w:r>
      <w:proofErr w:type="gramStart"/>
      <w:r>
        <w:t>o  IT</w:t>
      </w:r>
      <w:proofErr w:type="gramEnd"/>
      <w:r>
        <w:t xml:space="preserve"> kompanijama, vrijedan je pažnje napredak Instagrama (66,2% uklanjanja u 2021, 42% u </w:t>
      </w:r>
      <w:r>
        <w:lastRenderedPageBreak/>
        <w:t>2020) i Twittera (49,8% naspram 35,9%). TikTok je prvi put uključen u procjenu i dobro se pokazao (80</w:t>
      </w:r>
      <w:proofErr w:type="gramStart"/>
      <w:r>
        <w:t>,1</w:t>
      </w:r>
      <w:proofErr w:type="gramEnd"/>
      <w:r>
        <w:t>% uklanjanja).</w:t>
      </w:r>
      <w:r w:rsidRPr="00090571">
        <w:rPr>
          <w:rStyle w:val="FootnoteReference"/>
        </w:rPr>
        <w:footnoteReference w:id="27"/>
      </w:r>
      <w:r>
        <w:t xml:space="preserve">  </w:t>
      </w:r>
    </w:p>
    <w:p w:rsidR="00090571" w:rsidRDefault="00851FB1">
      <w:pPr>
        <w:pStyle w:val="BodyText9"/>
        <w:shd w:val="clear" w:color="auto" w:fill="auto"/>
        <w:spacing w:after="240" w:line="264" w:lineRule="exact"/>
        <w:ind w:left="40" w:right="20"/>
        <w:jc w:val="both"/>
      </w:pPr>
      <w:proofErr w:type="gramStart"/>
      <w:r>
        <w:t xml:space="preserve">Rezultati praćenja Kodeksa ponašanja doprinose širem radu Evropske komisije o tome kako onlajn platforme treba da budu proaktivnije u sprječavanju, </w:t>
      </w:r>
      <w:r>
        <w:t>otkrivanju i uklanjanju nelegalnog sadržaja, uključujući nedavni prijedlog Paketa zakona o digitalnim uslugama.</w:t>
      </w:r>
      <w:proofErr w:type="gramEnd"/>
      <w:r>
        <w:t xml:space="preserve"> Komisija je takođe najavila da </w:t>
      </w:r>
      <w:proofErr w:type="gramStart"/>
      <w:r>
        <w:t>će</w:t>
      </w:r>
      <w:proofErr w:type="gramEnd"/>
      <w:r>
        <w:t xml:space="preserve"> nastaviti da pomaže dijalog između IT kompanija i organizacija civilnog društva koje rade na terenu u borbi pr</w:t>
      </w:r>
      <w:r>
        <w:t>otiv nelegalnog govora mržnje.</w:t>
      </w:r>
      <w:r w:rsidRPr="00090571">
        <w:rPr>
          <w:rStyle w:val="FootnoteReference"/>
        </w:rPr>
        <w:footnoteReference w:id="28"/>
      </w:r>
    </w:p>
    <w:p w:rsidR="00090571" w:rsidRDefault="00851FB1">
      <w:pPr>
        <w:pStyle w:val="BodyText9"/>
        <w:numPr>
          <w:ilvl w:val="1"/>
          <w:numId w:val="2"/>
        </w:numPr>
        <w:shd w:val="clear" w:color="auto" w:fill="auto"/>
        <w:spacing w:before="317" w:after="240" w:line="264" w:lineRule="exact"/>
        <w:ind w:right="20"/>
        <w:jc w:val="both"/>
        <w:rPr>
          <w:b/>
          <w:bCs/>
        </w:rPr>
      </w:pPr>
      <w:r>
        <w:rPr>
          <w:b/>
          <w:bCs/>
        </w:rPr>
        <w:t>IZAZOVI I KRITIČKI STAVOVI</w:t>
      </w:r>
    </w:p>
    <w:p w:rsidR="00090571" w:rsidRDefault="00851FB1">
      <w:pPr>
        <w:pStyle w:val="BodyText9"/>
        <w:shd w:val="clear" w:color="auto" w:fill="auto"/>
        <w:spacing w:after="240" w:line="264" w:lineRule="exact"/>
        <w:ind w:right="20"/>
        <w:jc w:val="both"/>
      </w:pPr>
      <w:r>
        <w:t>Stručnjak za ljudska prava Barbora Bukovska</w:t>
      </w:r>
      <w:r>
        <w:rPr>
          <w:rFonts w:ascii="Agency FB" w:hAnsi="Agency FB"/>
        </w:rPr>
        <w:t>´</w:t>
      </w:r>
      <w:r>
        <w:t>, viši direktor za pravo i politiku međunarodne nevladine organizacije Član 19, smatra da Kodeks ponašanja ima pro</w:t>
      </w:r>
      <w:r>
        <w:t xml:space="preserve">blematičnu pravnu osnovu i nejasan proces implementacije, </w:t>
      </w:r>
      <w:proofErr w:type="gramStart"/>
      <w:r>
        <w:t>te</w:t>
      </w:r>
      <w:proofErr w:type="gramEnd"/>
      <w:r>
        <w:t xml:space="preserve"> da je stoga pogrešna politika od strane Evropske komisije. Ona vjeruje da za kompanije to vjerovatno neće predstavljati ništa više </w:t>
      </w:r>
      <w:proofErr w:type="gramStart"/>
      <w:r>
        <w:t>od</w:t>
      </w:r>
      <w:proofErr w:type="gramEnd"/>
      <w:r>
        <w:t xml:space="preserve"> vježbe odnosa s javnošću. Uprkos svom neobavezujućem karakter</w:t>
      </w:r>
      <w:r>
        <w:t xml:space="preserve">u, Kodeks može dovesti do veće cenzure </w:t>
      </w:r>
      <w:proofErr w:type="gramStart"/>
      <w:r>
        <w:t>od</w:t>
      </w:r>
      <w:proofErr w:type="gramEnd"/>
      <w:r>
        <w:t xml:space="preserve"> strane privatnih kompanija – i na taj način potkopati vladavinu zakona i stvoriti zastrašujući efekat na slobodu izražavanja na platformama koje vode". </w:t>
      </w:r>
      <w:r w:rsidRPr="00090571">
        <w:rPr>
          <w:rStyle w:val="FootnoteReference"/>
        </w:rPr>
        <w:footnoteReference w:id="29"/>
      </w:r>
    </w:p>
    <w:p w:rsidR="00090571" w:rsidRDefault="00851FB1">
      <w:pPr>
        <w:pStyle w:val="BodyText9"/>
        <w:shd w:val="clear" w:color="auto" w:fill="auto"/>
        <w:spacing w:after="240" w:line="264" w:lineRule="exact"/>
        <w:ind w:right="20"/>
        <w:jc w:val="both"/>
      </w:pPr>
      <w:proofErr w:type="gramStart"/>
      <w:r>
        <w:t>Bukovska ključni problem kodeksa ponašanja vidi u njegovoj normativnoj osnovi za definisanje "nezakonitog onlajn sadržaja."</w:t>
      </w:r>
      <w:proofErr w:type="gramEnd"/>
      <w:r>
        <w:t xml:space="preserve"> </w:t>
      </w:r>
      <w:proofErr w:type="gramStart"/>
      <w:r>
        <w:t>Prema njenoj ocjeni, Kodeks ponašanja stavlja kompanije - a ne sudove - u poziciju da moraju da odlučuju o zakoni</w:t>
      </w:r>
      <w:r>
        <w:t>tosti sadržaja.</w:t>
      </w:r>
      <w:proofErr w:type="gramEnd"/>
      <w:r>
        <w:t xml:space="preserve"> Omogućava organima za sprovođenje zakona da vrše pritisak </w:t>
      </w:r>
      <w:proofErr w:type="gramStart"/>
      <w:r>
        <w:t>na</w:t>
      </w:r>
      <w:proofErr w:type="gramEnd"/>
      <w:r>
        <w:t xml:space="preserve"> kompanije da uklone sadržaj u okolnostima kada vlasti nemaju ovlašćenja da nalože njegovo uklanjanje jer je sam sadržaj legalan. </w:t>
      </w:r>
      <w:proofErr w:type="gramStart"/>
      <w:r>
        <w:t>Ono što je važno, Kodeks ne zahtijeva usvajanje bi</w:t>
      </w:r>
      <w:r>
        <w:t>lo kakvih zaštitnih mehanizama protiv zloupotrebe procedure obavještenja i ne govori o pravnim ljekovima za osporavanje pogrešnih uklanjanja, naglašava Bukovska.</w:t>
      </w:r>
      <w:proofErr w:type="gramEnd"/>
      <w:r w:rsidRPr="00090571">
        <w:rPr>
          <w:rStyle w:val="FootnoteReference"/>
        </w:rPr>
        <w:footnoteReference w:id="30"/>
      </w:r>
    </w:p>
    <w:p w:rsidR="00090571" w:rsidRDefault="00851FB1">
      <w:pPr>
        <w:pStyle w:val="BodyText9"/>
        <w:shd w:val="clear" w:color="auto" w:fill="auto"/>
        <w:spacing w:after="240" w:line="264" w:lineRule="exact"/>
        <w:ind w:right="20"/>
        <w:jc w:val="both"/>
      </w:pPr>
      <w:r>
        <w:t xml:space="preserve">Izvještaj o evaluaciji Kodeksa ponašanja EU za borbu protiv govora mržnje </w:t>
      </w:r>
      <w:proofErr w:type="gramStart"/>
      <w:r>
        <w:t>na</w:t>
      </w:r>
      <w:proofErr w:type="gramEnd"/>
      <w:r>
        <w:t xml:space="preserve"> m</w:t>
      </w:r>
      <w:r>
        <w:t xml:space="preserve">reži iz 2021. </w:t>
      </w:r>
      <w:proofErr w:type="gramStart"/>
      <w:r>
        <w:t>koji</w:t>
      </w:r>
      <w:proofErr w:type="gramEnd"/>
      <w:r>
        <w:t xml:space="preserve"> otkriva značajan pad broja pregledanih obavještenja i stope uklanjanja govora mržnje na mreži od strane IT kompanija, Centar za demokratiju i tehnologiju to vidi kao potvrdu "stalne zabrinutosti u vezi sa pristupom Evropske komisije rješ</w:t>
      </w:r>
      <w:r>
        <w:t>avanju pitanja kao što su govor mržnje, dezinformacije i rodno zasnovano nasilje na internetu."</w:t>
      </w:r>
      <w:r w:rsidRPr="00090571">
        <w:rPr>
          <w:rStyle w:val="FootnoteReference"/>
        </w:rPr>
        <w:footnoteReference w:id="31"/>
      </w:r>
    </w:p>
    <w:p w:rsidR="00090571" w:rsidRDefault="00851FB1">
      <w:pPr>
        <w:pStyle w:val="BodyText9"/>
        <w:shd w:val="clear" w:color="auto" w:fill="auto"/>
        <w:spacing w:after="180" w:line="264" w:lineRule="exact"/>
        <w:ind w:right="20"/>
        <w:jc w:val="both"/>
      </w:pPr>
      <w:r>
        <w:t>Istovremeno, Euroactiv je izvijestio o zabrinutosti Evropske komisije da bi veći zak</w:t>
      </w:r>
      <w:r>
        <w:t xml:space="preserve">onodavni napori, kao što je predloženi Zakon o digitalnim uslugama, mogli da ometaju onlajn platforme i da zasijene njihovu usklađenost </w:t>
      </w:r>
      <w:proofErr w:type="gramStart"/>
      <w:r>
        <w:t>sa</w:t>
      </w:r>
      <w:proofErr w:type="gramEnd"/>
      <w:r>
        <w:t xml:space="preserve"> dobrovoljnim obavezama koje su preuzeli. </w:t>
      </w:r>
      <w:proofErr w:type="gramStart"/>
      <w:r>
        <w:t>"Sam džentlmenski sporazum ovdje neće biti dovoljan", rekla je Vera Jourova,</w:t>
      </w:r>
      <w:r>
        <w:t xml:space="preserve"> potpredsjednica </w:t>
      </w:r>
      <w:r>
        <w:lastRenderedPageBreak/>
        <w:t>Komisije za vrijednosti i transparentnost, prenosi Euroactiv.</w:t>
      </w:r>
      <w:proofErr w:type="gramEnd"/>
      <w:r>
        <w:t xml:space="preserve"> </w:t>
      </w:r>
      <w:proofErr w:type="gramStart"/>
      <w:r>
        <w:t>"Zakon o digitalnim uslugama će obezbijediti snažne regulatorne alate za borbu protiv nelegalnog govora mržnje na mreži."</w:t>
      </w:r>
      <w:proofErr w:type="gramEnd"/>
      <w:r w:rsidRPr="00090571">
        <w:rPr>
          <w:rStyle w:val="FootnoteReference"/>
        </w:rPr>
        <w:footnoteReference w:id="32"/>
      </w:r>
    </w:p>
    <w:p w:rsidR="00090571" w:rsidRDefault="00090571">
      <w:pPr>
        <w:pStyle w:val="BodyText9"/>
        <w:shd w:val="clear" w:color="auto" w:fill="auto"/>
        <w:spacing w:before="317" w:after="240" w:line="264" w:lineRule="exact"/>
        <w:ind w:right="20"/>
        <w:jc w:val="both"/>
      </w:pPr>
    </w:p>
    <w:p w:rsidR="00090571" w:rsidRDefault="00090571">
      <w:pPr>
        <w:pStyle w:val="BodyText9"/>
        <w:pageBreakBefore/>
        <w:shd w:val="clear" w:color="auto" w:fill="auto"/>
        <w:spacing w:after="240" w:line="264" w:lineRule="exact"/>
        <w:ind w:left="40" w:right="20"/>
        <w:jc w:val="both"/>
      </w:pPr>
    </w:p>
    <w:p w:rsidR="00090571" w:rsidRDefault="00851FB1">
      <w:pPr>
        <w:pStyle w:val="BodyText9"/>
        <w:shd w:val="clear" w:color="auto" w:fill="auto"/>
        <w:spacing w:after="240" w:line="264" w:lineRule="exact"/>
        <w:ind w:left="40" w:right="20"/>
        <w:jc w:val="both"/>
      </w:pPr>
      <w:proofErr w:type="gramStart"/>
      <w:r>
        <w:t>nego</w:t>
      </w:r>
      <w:proofErr w:type="gramEnd"/>
      <w:r>
        <w:t xml:space="preserve"> u 2019. </w:t>
      </w:r>
      <w:proofErr w:type="gramStart"/>
      <w:r>
        <w:t>i</w:t>
      </w:r>
      <w:proofErr w:type="gramEnd"/>
      <w:r>
        <w:t xml:space="preserve"> 2020. Međutim, kada je riječ </w:t>
      </w:r>
      <w:proofErr w:type="gramStart"/>
      <w:r>
        <w:t>o</w:t>
      </w:r>
      <w:r>
        <w:t xml:space="preserve">  IT</w:t>
      </w:r>
      <w:proofErr w:type="gramEnd"/>
      <w:r>
        <w:t xml:space="preserve"> kompanijama, vrijedan je pažnje napredak Instagrama (66,2% uklanjanja u 2021, 42% u 2020) i Twittera (49,8% naspram 35,9%). TikTok je prvi put uključen u procjenu i dobro se pokazao (80</w:t>
      </w:r>
      <w:proofErr w:type="gramStart"/>
      <w:r>
        <w:t>,1</w:t>
      </w:r>
      <w:proofErr w:type="gramEnd"/>
      <w:r>
        <w:t>% uklanjanja).</w:t>
      </w:r>
      <w:r w:rsidRPr="00090571">
        <w:rPr>
          <w:rStyle w:val="FootnoteReference"/>
        </w:rPr>
        <w:footnoteReference w:id="33"/>
      </w:r>
      <w:r>
        <w:t xml:space="preserve">  </w:t>
      </w:r>
    </w:p>
    <w:p w:rsidR="00090571" w:rsidRDefault="00851FB1">
      <w:pPr>
        <w:pStyle w:val="BodyText9"/>
        <w:shd w:val="clear" w:color="auto" w:fill="auto"/>
        <w:spacing w:after="240" w:line="264" w:lineRule="exact"/>
        <w:ind w:left="40" w:right="20"/>
        <w:jc w:val="both"/>
      </w:pPr>
      <w:proofErr w:type="gramStart"/>
      <w:r>
        <w:t xml:space="preserve">Rezultati praćenja Kodeksa ponašanja doprinose širem radu Evropske komisije o tome kako onlajn platforme treba da budu proaktivnije u sprječavanju, otkrivanju i </w:t>
      </w:r>
      <w:r>
        <w:t>uklanjanju nelegalnog sadržaja, uključujući nedavni prijedlog Paketa zakona o digitalnim uslugama.</w:t>
      </w:r>
      <w:proofErr w:type="gramEnd"/>
      <w:r>
        <w:t xml:space="preserve"> Komisija je takođe najavila da </w:t>
      </w:r>
      <w:proofErr w:type="gramStart"/>
      <w:r>
        <w:t>će</w:t>
      </w:r>
      <w:proofErr w:type="gramEnd"/>
      <w:r>
        <w:t xml:space="preserve"> nastaviti da pomaže dijalog između IT kompanija i organizacija civilnog društva koje rade na terenu u borbi protiv nelegaln</w:t>
      </w:r>
      <w:r>
        <w:t>og govora mržnje.</w:t>
      </w:r>
      <w:r w:rsidRPr="00090571">
        <w:rPr>
          <w:rStyle w:val="FootnoteReference"/>
        </w:rPr>
        <w:footnoteReference w:id="34"/>
      </w:r>
    </w:p>
    <w:p w:rsidR="00090571" w:rsidRDefault="00851FB1">
      <w:pPr>
        <w:pStyle w:val="BodyText9"/>
        <w:numPr>
          <w:ilvl w:val="0"/>
          <w:numId w:val="2"/>
        </w:numPr>
        <w:shd w:val="clear" w:color="auto" w:fill="auto"/>
        <w:spacing w:after="240" w:line="264" w:lineRule="exact"/>
        <w:ind w:right="20"/>
        <w:jc w:val="both"/>
        <w:rPr>
          <w:b/>
          <w:bCs/>
        </w:rPr>
      </w:pPr>
      <w:r>
        <w:rPr>
          <w:b/>
          <w:bCs/>
        </w:rPr>
        <w:t>EU: Kodeks prakse o dezinformacijama (2018)</w:t>
      </w:r>
    </w:p>
    <w:p w:rsidR="00090571" w:rsidRDefault="00851FB1">
      <w:pPr>
        <w:pStyle w:val="BodyText9"/>
        <w:shd w:val="clear" w:color="auto" w:fill="auto"/>
        <w:spacing w:after="180" w:line="264" w:lineRule="exact"/>
        <w:ind w:right="20"/>
        <w:jc w:val="both"/>
      </w:pPr>
      <w:proofErr w:type="gramStart"/>
      <w:r>
        <w:t>Kodeks prakse o dezinformacijama, koji je pokrenula Evropska komisija,</w:t>
      </w:r>
      <w:r w:rsidRPr="00090571">
        <w:rPr>
          <w:rStyle w:val="FootnoteReference"/>
        </w:rPr>
        <w:footnoteReference w:id="35"/>
      </w:r>
      <w:r>
        <w:t xml:space="preserve"> objavljen je 26.</w:t>
      </w:r>
      <w:proofErr w:type="gramEnd"/>
      <w:r>
        <w:t xml:space="preserve"> </w:t>
      </w:r>
      <w:proofErr w:type="gramStart"/>
      <w:r>
        <w:t>septembra</w:t>
      </w:r>
      <w:proofErr w:type="gramEnd"/>
      <w:r>
        <w:t xml:space="preserve"> 2018.godine.On postavlja principe i obaveze za onlajn platfor</w:t>
      </w:r>
      <w:r>
        <w:t xml:space="preserve">me, vodeće društvene mreže, oglašivače i reklamnu industriju u borbi protiv širenja dezinformacija na mreži u Evropskoj uniji, koju su njeni potpisnici pristali da implementiraju. </w:t>
      </w:r>
    </w:p>
    <w:p w:rsidR="00090571" w:rsidRDefault="00851FB1">
      <w:pPr>
        <w:pStyle w:val="BodyText9"/>
        <w:shd w:val="clear" w:color="auto" w:fill="auto"/>
        <w:spacing w:after="180" w:line="264" w:lineRule="exact"/>
        <w:ind w:right="20"/>
        <w:jc w:val="both"/>
      </w:pPr>
      <w:proofErr w:type="gramStart"/>
      <w:r>
        <w:t>Potpisivanje Kodeksa je dobrovoljna odluka platforme.</w:t>
      </w:r>
      <w:proofErr w:type="gramEnd"/>
      <w:r>
        <w:t xml:space="preserve"> U okviru samoregulato</w:t>
      </w:r>
      <w:r>
        <w:t xml:space="preserve">rnog okvira, platforme nisu u obavezi da sprovode nikakvu specifičnu praksu, </w:t>
      </w:r>
      <w:proofErr w:type="gramStart"/>
      <w:r>
        <w:t>ali</w:t>
      </w:r>
      <w:proofErr w:type="gramEnd"/>
      <w:r>
        <w:t xml:space="preserve"> su saglasne da prijave svoje aktivnosti Komisiji. </w:t>
      </w:r>
      <w:proofErr w:type="gramStart"/>
      <w:r>
        <w:t>To je postao prvi svjetski samoregulatorni instrument za borbu protiv dezinformacija.</w:t>
      </w:r>
      <w:proofErr w:type="gramEnd"/>
    </w:p>
    <w:p w:rsidR="00090571" w:rsidRDefault="00851FB1">
      <w:pPr>
        <w:pStyle w:val="BodyText9"/>
        <w:shd w:val="clear" w:color="auto" w:fill="auto"/>
        <w:spacing w:after="240" w:line="264" w:lineRule="exact"/>
        <w:ind w:right="20"/>
        <w:jc w:val="both"/>
      </w:pPr>
      <w:proofErr w:type="gramStart"/>
      <w:r>
        <w:t>Sadašnji potpisnici uključuju glavne on</w:t>
      </w:r>
      <w:r>
        <w:t>lajn platforme aktivne u EU, kao i trgovinska udruženja i relevantne igrače u onlajn i reklamnim ekosistemima.</w:t>
      </w:r>
      <w:proofErr w:type="gramEnd"/>
      <w:r>
        <w:t xml:space="preserve"> To su: Google, Facebook, Twitter, Microsoft, TikTok, Mozilla, DOT Europe (bivši EDiMA), Svjetska federacija oglašivača (VFA) i njen belgijski kol</w:t>
      </w:r>
      <w:r>
        <w:t>ega, Unija belgijskih oglašivača (UBA); Evropsko udruženje komunikacijskih agencija (EACA) i njeni nacionalni članovi iz Francuske, Poljske i Češke Republike – odnosno, Association des Agences Conseils en Communication (AACC), Stovarziszenie Komunikacji Ma</w:t>
      </w:r>
      <w:r>
        <w:t xml:space="preserve">rketingovej/Ad Artis Art Foundation (SAR) i Asociace Komunikacnich Agentur (AKA); Interactive Advertising Bureau (IAB Europe), Kreativitet &amp; Kommunikation i Goldbach Audience (Švajcarska) AG. </w:t>
      </w:r>
      <w:r w:rsidRPr="00090571">
        <w:rPr>
          <w:rStyle w:val="FootnoteReference"/>
        </w:rPr>
        <w:footnoteReference w:id="36"/>
      </w:r>
    </w:p>
    <w:p w:rsidR="00090571" w:rsidRDefault="00851FB1">
      <w:pPr>
        <w:pStyle w:val="BodyText9"/>
        <w:spacing w:after="240" w:line="264" w:lineRule="exact"/>
        <w:ind w:left="20" w:right="20"/>
        <w:jc w:val="both"/>
      </w:pPr>
      <w:proofErr w:type="gramStart"/>
      <w:r>
        <w:t xml:space="preserve">U oktobru 2021.godine, </w:t>
      </w:r>
      <w:r>
        <w:t>osam novih potencijalnih potpisnika pridružilo se procesu revizije.</w:t>
      </w:r>
      <w:proofErr w:type="gramEnd"/>
      <w:r>
        <w:t xml:space="preserve"> Među njima su onlajn video platforme kao što je Vimeo, </w:t>
      </w:r>
      <w:proofErr w:type="gramStart"/>
      <w:r>
        <w:t>novi</w:t>
      </w:r>
      <w:proofErr w:type="gramEnd"/>
      <w:r>
        <w:t xml:space="preserve"> tipovi društvenih mreža kao što je Clubhouse i provajderi reklamnih tehnologija kao što je DoubleVerifi, kao i organizacije </w:t>
      </w:r>
      <w:r>
        <w:lastRenderedPageBreak/>
        <w:t>koje</w:t>
      </w:r>
      <w:r>
        <w:t xml:space="preserve"> pružaju specifičnu ekspertizu i tehnička rješenja za borbu protiv dezinformacija, kao što su Avaaz, Globsec, Logicalli, NewsGuard i WhoTargetsMe. </w:t>
      </w:r>
      <w:r w:rsidRPr="00090571">
        <w:rPr>
          <w:rStyle w:val="FootnoteReference"/>
        </w:rPr>
        <w:footnoteReference w:id="37"/>
      </w:r>
    </w:p>
    <w:p w:rsidR="00090571" w:rsidRDefault="00851FB1">
      <w:pPr>
        <w:pStyle w:val="BodyText9"/>
        <w:spacing w:after="240" w:line="264" w:lineRule="exact"/>
        <w:ind w:left="20" w:right="20"/>
        <w:jc w:val="both"/>
      </w:pPr>
      <w:r>
        <w:t xml:space="preserve"> Trenutni Kodeks se smatra dobrim prvim korakom, </w:t>
      </w:r>
      <w:proofErr w:type="gramStart"/>
      <w:r>
        <w:t>ali</w:t>
      </w:r>
      <w:proofErr w:type="gramEnd"/>
      <w:r>
        <w:t xml:space="preserve"> je Komisija u proc</w:t>
      </w:r>
      <w:r>
        <w:rPr>
          <w:lang w:val="en-US"/>
        </w:rPr>
        <w:t>j</w:t>
      </w:r>
      <w:r>
        <w:t xml:space="preserve">eni 2020. </w:t>
      </w:r>
      <w:proofErr w:type="gramStart"/>
      <w:r>
        <w:t>godine</w:t>
      </w:r>
      <w:proofErr w:type="gramEnd"/>
      <w:r>
        <w:t xml:space="preserve"> otkrila značajne nedostatke.</w:t>
      </w:r>
      <w:r w:rsidRPr="00090571">
        <w:rPr>
          <w:rStyle w:val="FootnoteReference"/>
        </w:rPr>
        <w:footnoteReference w:id="38"/>
      </w:r>
      <w:r>
        <w:t xml:space="preserve"> To podrazumijeva nedosljednu i nepotpunu primjenu Kodeksa </w:t>
      </w:r>
      <w:proofErr w:type="gramStart"/>
      <w:r>
        <w:t>na</w:t>
      </w:r>
      <w:proofErr w:type="gramEnd"/>
      <w:r>
        <w:t xml:space="preserve"> platformama i državama članicama, nedostatke u pokrivenosti obavezama Kod</w:t>
      </w:r>
      <w:r>
        <w:t>eksa, nedostatak odgovarajućeg mehanizma za praćenje, uključujući ključne indikatore učinka, nedostatak obaveza u pogledu pristupa platformama i podacima za istraživanje dezinformacija i ograničenog učešća zainteresovanih strana, posebno iz sektora oglašav</w:t>
      </w:r>
      <w:r>
        <w:t>anja.</w:t>
      </w:r>
      <w:r w:rsidRPr="00090571">
        <w:rPr>
          <w:rStyle w:val="FootnoteReference"/>
        </w:rPr>
        <w:footnoteReference w:id="39"/>
      </w:r>
    </w:p>
    <w:p w:rsidR="00090571" w:rsidRDefault="00851FB1">
      <w:pPr>
        <w:pStyle w:val="BodyText9"/>
        <w:shd w:val="clear" w:color="auto" w:fill="auto"/>
        <w:spacing w:after="240" w:line="264" w:lineRule="exact"/>
        <w:ind w:left="20" w:right="20"/>
        <w:jc w:val="both"/>
      </w:pPr>
      <w:proofErr w:type="gramStart"/>
      <w:r>
        <w:t>U maju 2021.godine, Komisija je izdala Smjernice za jačanje Kodeksa prakse za dezinformacije kako bi se pozabavila nedostacima identifikovanim u Komisijinoj procjeni Kodeksa za 2020.</w:t>
      </w:r>
      <w:proofErr w:type="gramEnd"/>
      <w:r w:rsidRPr="00090571">
        <w:rPr>
          <w:rStyle w:val="FootnoteReference"/>
        </w:rPr>
        <w:footnoteReference w:id="40"/>
      </w:r>
      <w:r>
        <w:t xml:space="preserve"> </w:t>
      </w:r>
      <w:proofErr w:type="gramStart"/>
      <w:r>
        <w:t>i</w:t>
      </w:r>
      <w:proofErr w:type="gramEnd"/>
      <w:r>
        <w:t xml:space="preserve"> izvukla pouke naučene u programu praćenja dezinformacija  u vezi pandemije COVID-19.</w:t>
      </w:r>
      <w:r w:rsidRPr="00090571">
        <w:rPr>
          <w:rStyle w:val="FootnoteReference"/>
        </w:rPr>
        <w:footnoteReference w:id="41"/>
      </w:r>
      <w:r>
        <w:t xml:space="preserve">    </w:t>
      </w:r>
    </w:p>
    <w:p w:rsidR="00090571" w:rsidRDefault="00851FB1">
      <w:pPr>
        <w:pStyle w:val="BodyText9"/>
        <w:shd w:val="clear" w:color="auto" w:fill="auto"/>
        <w:spacing w:after="363" w:line="264" w:lineRule="exact"/>
        <w:ind w:left="20" w:right="20"/>
        <w:jc w:val="both"/>
      </w:pPr>
      <w:proofErr w:type="gramStart"/>
      <w:r>
        <w:t>Vodič iz 2021.</w:t>
      </w:r>
      <w:proofErr w:type="gramEnd"/>
      <w:r>
        <w:t xml:space="preserve"> </w:t>
      </w:r>
      <w:proofErr w:type="gramStart"/>
      <w:r>
        <w:t>poziva</w:t>
      </w:r>
      <w:proofErr w:type="gramEnd"/>
      <w:r>
        <w:t xml:space="preserve"> na jačanje svih poglavlja Kodeksa: monetizacija dezinformacija mora biti smanjena, mjere protiv manipu</w:t>
      </w:r>
      <w:r>
        <w:t xml:space="preserve">lativnih tehnika moraju biti pojačane i korisnici treba da imaju pristup alatima za razumijevanje i označavanje dezinformacija i bezbjedno kretanje u onlajn okruženju. </w:t>
      </w:r>
      <w:proofErr w:type="gramStart"/>
      <w:r>
        <w:t>Prema Uputstvu, Kodeks bi takođe trebalo da poveća pokrivenost provjere činjenica u svim</w:t>
      </w:r>
      <w:r>
        <w:t xml:space="preserve"> državama članicama i jezicima i drastično poboljša pristup platformama i podacima za istraživanje.</w:t>
      </w:r>
      <w:proofErr w:type="gramEnd"/>
      <w:r>
        <w:t xml:space="preserve"> Potpisnici bi takođe trebalo da uspostave javno dostupan Centar za transparentnost, a Stalna radna grupa </w:t>
      </w:r>
      <w:proofErr w:type="gramStart"/>
      <w:r>
        <w:t>će</w:t>
      </w:r>
      <w:proofErr w:type="gramEnd"/>
      <w:r>
        <w:t xml:space="preserve"> biti zadužena za prilagođavanje Kodeksa s obziro</w:t>
      </w:r>
      <w:r>
        <w:t xml:space="preserve">m na tehnološki, društveni, tržišni i zakonodavni razvoj. Pojačani kodeks treba da bude dopunjen efikasnim okvirom za praćenje, </w:t>
      </w:r>
      <w:proofErr w:type="gramStart"/>
      <w:r>
        <w:t>na</w:t>
      </w:r>
      <w:proofErr w:type="gramEnd"/>
      <w:r>
        <w:t xml:space="preserve"> osnovu jasnih ključnih indikatora učinka za mjerenje efikasnosti akcija sprovedenih u skladu sa Kodeksom iz 2021. </w:t>
      </w:r>
      <w:proofErr w:type="gramStart"/>
      <w:r>
        <w:t>godine</w:t>
      </w:r>
      <w:proofErr w:type="gramEnd"/>
      <w:r>
        <w:t>. Oče</w:t>
      </w:r>
      <w:r>
        <w:t xml:space="preserve">kuje se da </w:t>
      </w:r>
      <w:proofErr w:type="gramStart"/>
      <w:r>
        <w:t>će</w:t>
      </w:r>
      <w:proofErr w:type="gramEnd"/>
      <w:r>
        <w:t xml:space="preserve"> potpisnici dostaviti revidirani Kodeks do kraja 2021. </w:t>
      </w:r>
      <w:proofErr w:type="gramStart"/>
      <w:r>
        <w:t>godine</w:t>
      </w:r>
      <w:proofErr w:type="gramEnd"/>
      <w:r>
        <w:t>.</w:t>
      </w:r>
      <w:r w:rsidRPr="00090571">
        <w:rPr>
          <w:rStyle w:val="FootnoteReference"/>
        </w:rPr>
        <w:footnoteReference w:id="42"/>
      </w:r>
    </w:p>
    <w:p w:rsidR="00090571" w:rsidRDefault="00851FB1">
      <w:pPr>
        <w:pStyle w:val="BodyText9"/>
        <w:numPr>
          <w:ilvl w:val="1"/>
          <w:numId w:val="2"/>
        </w:numPr>
        <w:shd w:val="clear" w:color="auto" w:fill="auto"/>
        <w:spacing w:after="363" w:line="264" w:lineRule="exact"/>
        <w:ind w:right="20"/>
        <w:jc w:val="both"/>
        <w:rPr>
          <w:b/>
          <w:bCs/>
        </w:rPr>
      </w:pPr>
      <w:r>
        <w:rPr>
          <w:b/>
          <w:bCs/>
        </w:rPr>
        <w:t>IZAZOVI I KRITIČKI STAVOVI</w:t>
      </w:r>
    </w:p>
    <w:p w:rsidR="00090571" w:rsidRDefault="00851FB1">
      <w:pPr>
        <w:pStyle w:val="BodyText9"/>
        <w:shd w:val="clear" w:color="auto" w:fill="auto"/>
        <w:spacing w:after="240" w:line="264" w:lineRule="exact"/>
        <w:ind w:right="20"/>
        <w:jc w:val="both"/>
      </w:pPr>
      <w:proofErr w:type="gramStart"/>
      <w:r>
        <w:t>Program za praćenje dezinformacija o COVID-19 pružio je detaljan pregled akcija koje su platform</w:t>
      </w:r>
      <w:r>
        <w:t>e preduzele u borbi protiv lažnih i obmanjujućih informacija o koronavirusu i vakcinama.</w:t>
      </w:r>
      <w:proofErr w:type="gramEnd"/>
      <w:r w:rsidRPr="00090571">
        <w:rPr>
          <w:rStyle w:val="FootnoteReference"/>
        </w:rPr>
        <w:footnoteReference w:id="43"/>
      </w:r>
      <w:r>
        <w:t xml:space="preserve"> Međutim, mjesečni </w:t>
      </w:r>
      <w:proofErr w:type="gramStart"/>
      <w:r>
        <w:t>izveštaji  platformi</w:t>
      </w:r>
      <w:proofErr w:type="gramEnd"/>
      <w:r>
        <w:t xml:space="preserve"> su veoma raznovrsni. Oni uglavnom prate platforme i njihove obaveze prema Kodeksu prakse EU o dezinformacijama, </w:t>
      </w:r>
      <w:proofErr w:type="gramStart"/>
      <w:r>
        <w:t>ali</w:t>
      </w:r>
      <w:proofErr w:type="gramEnd"/>
      <w:r>
        <w:t xml:space="preserve"> svaka platforma i</w:t>
      </w:r>
      <w:r>
        <w:t xml:space="preserve">ma svoj stil izvještavanja i popunjava metriku u skladu sa svojim preferencijama, a </w:t>
      </w:r>
      <w:r>
        <w:lastRenderedPageBreak/>
        <w:t xml:space="preserve">nijedna ne pruža mnogo detaljnih podataka na nivou zemlje. Izvještaji tako postaju uporedivi </w:t>
      </w:r>
      <w:proofErr w:type="gramStart"/>
      <w:r>
        <w:t>uz  značajne</w:t>
      </w:r>
      <w:proofErr w:type="gramEnd"/>
      <w:r>
        <w:t xml:space="preserve"> napore.</w:t>
      </w:r>
      <w:r w:rsidRPr="00090571">
        <w:rPr>
          <w:rStyle w:val="FootnoteReference"/>
        </w:rPr>
        <w:footnoteReference w:id="44"/>
      </w:r>
    </w:p>
    <w:p w:rsidR="00090571" w:rsidRDefault="00851FB1">
      <w:pPr>
        <w:pStyle w:val="BodyText9"/>
        <w:shd w:val="clear" w:color="auto" w:fill="auto"/>
        <w:spacing w:after="240" w:line="264" w:lineRule="exact"/>
        <w:ind w:right="20"/>
        <w:jc w:val="both"/>
      </w:pPr>
      <w:r>
        <w:t>Kako prenosi Euroactiv,</w:t>
      </w:r>
      <w:r>
        <w:t xml:space="preserve"> postoji zabrinutost da očekivana revizija Kodeksa o dezinformacijama do kraja 2021. </w:t>
      </w:r>
      <w:proofErr w:type="gramStart"/>
      <w:r>
        <w:t>neće</w:t>
      </w:r>
      <w:proofErr w:type="gramEnd"/>
      <w:r>
        <w:t xml:space="preserve"> biti moguća jer je pažnja onlajn platformi trenutno usmjerena na pregovore o Zakonu o digitalnim uslugama.</w:t>
      </w:r>
      <w:r w:rsidRPr="00090571">
        <w:rPr>
          <w:rStyle w:val="FootnoteReference"/>
        </w:rPr>
        <w:footnoteReference w:id="45"/>
      </w:r>
      <w:r>
        <w:t xml:space="preserve"> </w:t>
      </w:r>
      <w:proofErr w:type="gramStart"/>
      <w:r>
        <w:t>Kodeks je instrument mekog prava, stoga je dobrovoljan i neobavezujući.</w:t>
      </w:r>
      <w:proofErr w:type="gramEnd"/>
      <w:r>
        <w:t xml:space="preserve"> Međutim, neke </w:t>
      </w:r>
      <w:proofErr w:type="gramStart"/>
      <w:r>
        <w:t>od</w:t>
      </w:r>
      <w:proofErr w:type="gramEnd"/>
      <w:r>
        <w:t xml:space="preserve"> njegovih odredbi, posebno one predviđene u Smjernicama Komisije za 2021. </w:t>
      </w:r>
      <w:proofErr w:type="gramStart"/>
      <w:r>
        <w:t>godinu</w:t>
      </w:r>
      <w:proofErr w:type="gramEnd"/>
      <w:r>
        <w:t>, mogu posta</w:t>
      </w:r>
      <w:r>
        <w:t xml:space="preserve">ti obavezne kada se usvoji Zakon o digitalnim uslugama. </w:t>
      </w:r>
      <w:proofErr w:type="gramStart"/>
      <w:r>
        <w:t>Potpisnici Kodeksa bi mogli da iskoriste kraći vremenski okvir u kojem je dogovoreno da se odupru poštovanju mjera uključenih u smjernice Komisije.</w:t>
      </w:r>
      <w:proofErr w:type="gramEnd"/>
      <w:r w:rsidRPr="00090571">
        <w:rPr>
          <w:rStyle w:val="FootnoteReference"/>
        </w:rPr>
        <w:footnoteReference w:id="46"/>
      </w:r>
    </w:p>
    <w:p w:rsidR="00090571" w:rsidRDefault="00090571">
      <w:pPr>
        <w:pStyle w:val="BodyText9"/>
        <w:shd w:val="clear" w:color="auto" w:fill="auto"/>
        <w:spacing w:after="240" w:line="264" w:lineRule="exact"/>
        <w:ind w:right="20"/>
        <w:jc w:val="both"/>
      </w:pPr>
    </w:p>
    <w:p w:rsidR="00090571" w:rsidRDefault="00851FB1">
      <w:pPr>
        <w:pStyle w:val="BodyText9"/>
        <w:numPr>
          <w:ilvl w:val="0"/>
          <w:numId w:val="2"/>
        </w:numPr>
        <w:shd w:val="clear" w:color="auto" w:fill="auto"/>
        <w:spacing w:after="240" w:line="264" w:lineRule="exact"/>
        <w:ind w:right="20"/>
        <w:jc w:val="both"/>
        <w:rPr>
          <w:b/>
          <w:bCs/>
        </w:rPr>
      </w:pPr>
      <w:r>
        <w:rPr>
          <w:b/>
          <w:bCs/>
        </w:rPr>
        <w:t>EU: EVROPSKA OPSERVATORIJA DIGITALNIH MEDI</w:t>
      </w:r>
      <w:r>
        <w:rPr>
          <w:b/>
          <w:bCs/>
        </w:rPr>
        <w:t>JA (2019)</w:t>
      </w:r>
    </w:p>
    <w:p w:rsidR="00090571" w:rsidRDefault="00851FB1">
      <w:pPr>
        <w:pStyle w:val="BodyText9"/>
        <w:spacing w:before="267" w:after="240" w:line="264" w:lineRule="exact"/>
        <w:ind w:right="20"/>
        <w:jc w:val="both"/>
      </w:pPr>
      <w:r>
        <w:t xml:space="preserve">Evropska opservatorija za digitalne medije (EDMO) je projekat koji finansira EU a koji podržava nezavisnu zajednicu koja radi </w:t>
      </w:r>
      <w:proofErr w:type="gramStart"/>
      <w:r>
        <w:t>na</w:t>
      </w:r>
      <w:proofErr w:type="gramEnd"/>
      <w:r>
        <w:t xml:space="preserve"> borbi protiv dezinformacija. Stvaranje Evropske opservatorije za digitalne medije (EDMO) jedan je </w:t>
      </w:r>
      <w:proofErr w:type="gramStart"/>
      <w:r>
        <w:t>od</w:t>
      </w:r>
      <w:proofErr w:type="gramEnd"/>
      <w:r>
        <w:t xml:space="preserve"> elemenata u deta</w:t>
      </w:r>
      <w:r>
        <w:t>ljnom akcionom planu Evropske komisije protiv dezinformacija,</w:t>
      </w:r>
      <w:r w:rsidRPr="00090571">
        <w:rPr>
          <w:rStyle w:val="FootnoteReference"/>
        </w:rPr>
        <w:footnoteReference w:id="47"/>
      </w:r>
      <w:r>
        <w:t xml:space="preserve"> objavljenom u decembru 2018. Finansira ga Evropska unija </w:t>
      </w:r>
      <w:proofErr w:type="gramStart"/>
      <w:r>
        <w:t>od</w:t>
      </w:r>
      <w:proofErr w:type="gramEnd"/>
      <w:r>
        <w:t xml:space="preserve"> 2019. </w:t>
      </w:r>
      <w:proofErr w:type="gramStart"/>
      <w:r>
        <w:t>godine</w:t>
      </w:r>
      <w:proofErr w:type="gramEnd"/>
      <w:r>
        <w:t xml:space="preserve">. </w:t>
      </w:r>
    </w:p>
    <w:p w:rsidR="00090571" w:rsidRDefault="00851FB1">
      <w:pPr>
        <w:pStyle w:val="BodyText9"/>
        <w:spacing w:before="267" w:after="240" w:line="264" w:lineRule="exact"/>
        <w:ind w:right="20"/>
        <w:jc w:val="both"/>
      </w:pPr>
      <w:proofErr w:type="gramStart"/>
      <w:r>
        <w:t>EDMO-om upravlja konzorcijum koji predvodi Evropski Univerzitetski institut u Firenci, Italija.</w:t>
      </w:r>
      <w:proofErr w:type="gramEnd"/>
      <w:r>
        <w:t xml:space="preserve"> </w:t>
      </w:r>
      <w:proofErr w:type="gramStart"/>
      <w:r>
        <w:t>Konzorcijum uklju</w:t>
      </w:r>
      <w:r>
        <w:t>čuje kompaniju Athens Technology Center iz Grčke, Univerzitet Arhus iz Danske i organizaciju za provjeru činjenica Pagella Politica iz Italije.</w:t>
      </w:r>
      <w:proofErr w:type="gramEnd"/>
      <w:r>
        <w:t xml:space="preserve"> EDMO ima strukturu upravljanja potpuno nezavisnu </w:t>
      </w:r>
      <w:proofErr w:type="gramStart"/>
      <w:r>
        <w:t>od</w:t>
      </w:r>
      <w:proofErr w:type="gramEnd"/>
      <w:r>
        <w:t xml:space="preserve"> javnih vlasti, uključujući Evropsku komisiju.</w:t>
      </w:r>
      <w:r w:rsidRPr="00090571">
        <w:rPr>
          <w:rStyle w:val="FootnoteReference"/>
        </w:rPr>
        <w:footnoteReference w:id="48"/>
      </w:r>
    </w:p>
    <w:p w:rsidR="00090571" w:rsidRDefault="00851FB1">
      <w:pPr>
        <w:pStyle w:val="BodyText9"/>
        <w:spacing w:before="267" w:after="240" w:line="264" w:lineRule="exact"/>
        <w:ind w:right="20"/>
        <w:jc w:val="both"/>
      </w:pPr>
      <w:r>
        <w:t>Evropska opservatorija za digitalne medije (EDMO)</w:t>
      </w:r>
      <w:r w:rsidRPr="00090571">
        <w:rPr>
          <w:rStyle w:val="FootnoteReference"/>
        </w:rPr>
        <w:footnoteReference w:id="49"/>
      </w:r>
      <w:r>
        <w:t xml:space="preserve"> služi kao centar za provjeru činjenica, istraživače i druge relevantne zainteresovane strane da sarađuju </w:t>
      </w:r>
      <w:r>
        <w:t xml:space="preserve">jedni </w:t>
      </w:r>
      <w:proofErr w:type="gramStart"/>
      <w:r>
        <w:t>sa</w:t>
      </w:r>
      <w:proofErr w:type="gramEnd"/>
      <w:r>
        <w:t xml:space="preserve"> drugima. To ih ohrabruje da se aktivno povežu </w:t>
      </w:r>
      <w:proofErr w:type="gramStart"/>
      <w:r>
        <w:t>sa</w:t>
      </w:r>
      <w:proofErr w:type="gramEnd"/>
      <w:r>
        <w:t xml:space="preserve"> medijskim organizacijama i stručnjacima za medijsku pismenost i pruže podršku kreatorima politika. </w:t>
      </w:r>
      <w:proofErr w:type="gramStart"/>
      <w:r>
        <w:t>Ovo pomaže u koordinaciji akcija u borbi protiv dezinformacija.</w:t>
      </w:r>
      <w:proofErr w:type="gramEnd"/>
    </w:p>
    <w:p w:rsidR="00090571" w:rsidRDefault="00851FB1">
      <w:pPr>
        <w:pStyle w:val="BodyText9"/>
        <w:shd w:val="clear" w:color="auto" w:fill="auto"/>
        <w:spacing w:before="267" w:after="240" w:line="264" w:lineRule="exact"/>
        <w:ind w:right="20"/>
        <w:jc w:val="both"/>
      </w:pPr>
      <w:r>
        <w:t xml:space="preserve">Aktivnosti EDMO-a su zasnovane </w:t>
      </w:r>
      <w:proofErr w:type="gramStart"/>
      <w:r>
        <w:t>na</w:t>
      </w:r>
      <w:proofErr w:type="gramEnd"/>
      <w:r>
        <w:t xml:space="preserve"> p</w:t>
      </w:r>
      <w:r>
        <w:t xml:space="preserve">et oblasti: </w:t>
      </w:r>
    </w:p>
    <w:p w:rsidR="00090571" w:rsidRDefault="00851FB1">
      <w:pPr>
        <w:pStyle w:val="BodyText9"/>
        <w:shd w:val="clear" w:color="auto" w:fill="auto"/>
        <w:spacing w:before="267" w:after="240" w:line="264" w:lineRule="exact"/>
        <w:ind w:left="720" w:right="20"/>
        <w:jc w:val="both"/>
      </w:pPr>
      <w:r>
        <w:t xml:space="preserve">a) „mapiranje organizacija koje provjeravaju činjenice u Evropi i pružanje podrške podsticanju zajedničkih i prekograničnih aktivnosti i namjenskih modula obuke. </w:t>
      </w:r>
    </w:p>
    <w:p w:rsidR="00090571" w:rsidRDefault="00851FB1">
      <w:pPr>
        <w:pStyle w:val="BodyText9"/>
        <w:shd w:val="clear" w:color="auto" w:fill="auto"/>
        <w:spacing w:before="267" w:after="240" w:line="264" w:lineRule="exact"/>
        <w:ind w:left="720" w:right="20"/>
        <w:jc w:val="both"/>
      </w:pPr>
      <w:r>
        <w:t xml:space="preserve">b) </w:t>
      </w:r>
      <w:proofErr w:type="gramStart"/>
      <w:r>
        <w:t>mapiranje</w:t>
      </w:r>
      <w:proofErr w:type="gramEnd"/>
      <w:r>
        <w:t>, podršku i koordinaciju istraživačkih aktivnosti o dezinformacijama</w:t>
      </w:r>
      <w:r>
        <w:t xml:space="preserve"> na evropskom nivou, uključujući stvaranje i redovno ažuriranje globalnog repozitorija recenziranih naučnih članaka o dezinformacijama. </w:t>
      </w:r>
    </w:p>
    <w:p w:rsidR="00090571" w:rsidRDefault="00851FB1">
      <w:pPr>
        <w:pStyle w:val="BodyText9"/>
        <w:shd w:val="clear" w:color="auto" w:fill="auto"/>
        <w:spacing w:before="267" w:after="240" w:line="264" w:lineRule="exact"/>
        <w:ind w:left="720" w:right="20"/>
        <w:jc w:val="both"/>
      </w:pPr>
      <w:r>
        <w:lastRenderedPageBreak/>
        <w:t xml:space="preserve">c) </w:t>
      </w:r>
      <w:proofErr w:type="gramStart"/>
      <w:r>
        <w:t>izgradnja</w:t>
      </w:r>
      <w:proofErr w:type="gramEnd"/>
      <w:r>
        <w:t xml:space="preserve"> javnog portala koji pruža medijskim praktičarima, nastavnicima i građanima informacije i materijale koji i</w:t>
      </w:r>
      <w:r>
        <w:t>maju za cilj podizanje svijesti, izgradnju otpornosti na onlajn dezinformacije i podršku kampanjama medijske pismenosti.</w:t>
      </w:r>
    </w:p>
    <w:p w:rsidR="00090571" w:rsidRDefault="00851FB1">
      <w:pPr>
        <w:pStyle w:val="BodyText9"/>
        <w:shd w:val="clear" w:color="auto" w:fill="auto"/>
        <w:spacing w:before="267" w:after="240" w:line="264" w:lineRule="exact"/>
        <w:ind w:left="720" w:right="20"/>
        <w:jc w:val="both"/>
      </w:pPr>
      <w:r>
        <w:t xml:space="preserve">d) </w:t>
      </w:r>
      <w:proofErr w:type="gramStart"/>
      <w:r>
        <w:t>dizajn</w:t>
      </w:r>
      <w:proofErr w:type="gramEnd"/>
      <w:r>
        <w:t xml:space="preserve"> okvira za obezbjeđivanje bezbjednog pristupa platformama sa zaštitom privatnosti podaci za akademske istraživače koji rade na</w:t>
      </w:r>
      <w:r>
        <w:t xml:space="preserve"> boljem razumijevanju dezinformacija.  </w:t>
      </w:r>
    </w:p>
    <w:p w:rsidR="00090571" w:rsidRDefault="00851FB1">
      <w:pPr>
        <w:pStyle w:val="BodyText9"/>
        <w:shd w:val="clear" w:color="auto" w:fill="auto"/>
        <w:spacing w:after="363" w:line="264" w:lineRule="exact"/>
        <w:ind w:left="720" w:right="20"/>
        <w:jc w:val="both"/>
      </w:pPr>
      <w:r>
        <w:t xml:space="preserve">e) </w:t>
      </w:r>
      <w:proofErr w:type="gramStart"/>
      <w:r>
        <w:t>podrška</w:t>
      </w:r>
      <w:proofErr w:type="gramEnd"/>
      <w:r>
        <w:t xml:space="preserve"> javnim vlastima u praćenju politika koje postavljaju onlajn platforme u cilju ograničavanja širenja i uticaja dezinformacija; ovo uključuje podršku Evropskim regulatornim grupama za audiovizuelne medijske </w:t>
      </w:r>
      <w:r>
        <w:t xml:space="preserve">usluge (ERGA), izvještavanje Evropskoj komisiji itd. </w:t>
      </w:r>
      <w:r w:rsidRPr="00090571">
        <w:rPr>
          <w:rStyle w:val="FootnoteReference"/>
        </w:rPr>
        <w:footnoteReference w:id="50"/>
      </w:r>
    </w:p>
    <w:p w:rsidR="00090571" w:rsidRDefault="00851FB1">
      <w:pPr>
        <w:pStyle w:val="BodyText9"/>
        <w:shd w:val="clear" w:color="auto" w:fill="auto"/>
        <w:spacing w:after="363" w:line="264" w:lineRule="exact"/>
        <w:ind w:left="720" w:right="20"/>
        <w:jc w:val="both"/>
      </w:pPr>
      <w:r>
        <w:t xml:space="preserve">7. </w:t>
      </w:r>
      <w:r>
        <w:rPr>
          <w:b/>
          <w:bCs/>
        </w:rPr>
        <w:t>SLUČAJ NJEMAČKE</w:t>
      </w:r>
      <w:r>
        <w:t xml:space="preserve"> </w:t>
      </w:r>
    </w:p>
    <w:p w:rsidR="00090571" w:rsidRDefault="00851FB1">
      <w:pPr>
        <w:pStyle w:val="BodyText9"/>
        <w:tabs>
          <w:tab w:val="left" w:pos="352"/>
        </w:tabs>
        <w:spacing w:line="264" w:lineRule="exact"/>
        <w:ind w:left="40" w:right="20"/>
        <w:jc w:val="both"/>
      </w:pPr>
      <w:proofErr w:type="gramStart"/>
      <w:r>
        <w:t>Nemačka je 2017.</w:t>
      </w:r>
      <w:proofErr w:type="gramEnd"/>
      <w:r>
        <w:t xml:space="preserve"> </w:t>
      </w:r>
      <w:proofErr w:type="gramStart"/>
      <w:r>
        <w:t>usvojila</w:t>
      </w:r>
      <w:proofErr w:type="gramEnd"/>
      <w:r>
        <w:t xml:space="preserve"> Zakon o zaštiti na mreži (NetzDG), koji se naziva i "Facebook Act".</w:t>
      </w:r>
      <w:r w:rsidRPr="00090571">
        <w:rPr>
          <w:rStyle w:val="FootnoteReference"/>
        </w:rPr>
        <w:footnoteReference w:id="51"/>
      </w:r>
      <w:r>
        <w:t xml:space="preserve"> Zakon je stupio </w:t>
      </w:r>
      <w:proofErr w:type="gramStart"/>
      <w:r>
        <w:t>na</w:t>
      </w:r>
      <w:proofErr w:type="gramEnd"/>
      <w:r>
        <w:t xml:space="preserve"> snagu 1. </w:t>
      </w:r>
      <w:proofErr w:type="gramStart"/>
      <w:r>
        <w:t>januara</w:t>
      </w:r>
      <w:proofErr w:type="gramEnd"/>
      <w:r>
        <w:t xml:space="preserve"> 2018. </w:t>
      </w:r>
      <w:proofErr w:type="gramStart"/>
      <w:r>
        <w:t>godine</w:t>
      </w:r>
      <w:proofErr w:type="gramEnd"/>
      <w:r>
        <w:t>.</w:t>
      </w:r>
    </w:p>
    <w:p w:rsidR="00090571" w:rsidRDefault="00090571">
      <w:pPr>
        <w:pStyle w:val="BodyText9"/>
        <w:tabs>
          <w:tab w:val="left" w:pos="352"/>
        </w:tabs>
        <w:spacing w:line="264" w:lineRule="exact"/>
        <w:ind w:left="40" w:right="20"/>
        <w:jc w:val="both"/>
      </w:pPr>
    </w:p>
    <w:p w:rsidR="00090571" w:rsidRDefault="00851FB1">
      <w:pPr>
        <w:pStyle w:val="BodyText9"/>
        <w:tabs>
          <w:tab w:val="left" w:pos="352"/>
        </w:tabs>
        <w:spacing w:line="264" w:lineRule="exact"/>
        <w:ind w:left="40" w:right="20"/>
        <w:jc w:val="both"/>
      </w:pPr>
      <w:r>
        <w:t>Prema NetzDG zakonu, kom</w:t>
      </w:r>
      <w:r>
        <w:t xml:space="preserve">panije društvenih medija </w:t>
      </w:r>
      <w:proofErr w:type="gramStart"/>
      <w:r>
        <w:t>sa</w:t>
      </w:r>
      <w:proofErr w:type="gramEnd"/>
      <w:r>
        <w:t xml:space="preserve"> više od 2 miliona registrovanih korisnika u Njemačkoj su dužne da uspostave efikasnu i transparentnu proceduru za primanje i razmatranje pritužbi na navodno "nezakonite" sadržaje. "Nezakoniti sadržaj" je definisan u 22 odredbe K</w:t>
      </w:r>
      <w:r>
        <w:t xml:space="preserve">rivičnog zakonika, u širokom rasponu </w:t>
      </w:r>
      <w:proofErr w:type="gramStart"/>
      <w:r>
        <w:t>od</w:t>
      </w:r>
      <w:proofErr w:type="gramEnd"/>
      <w:r>
        <w:t xml:space="preserve"> uvrede javne funkcije do stvarnih prijetnji nasiljem. Kompanije društvenih medija moraju blokirati ili ukloniti "očigledno nezakonite" sadržaj</w:t>
      </w:r>
      <w:r>
        <w:rPr>
          <w:lang w:val="en-US"/>
        </w:rPr>
        <w:t>e</w:t>
      </w:r>
      <w:r>
        <w:t xml:space="preserve"> u roku od 24 sata od prijema žalbe, ali i do nedelju dana ili potencijal</w:t>
      </w:r>
      <w:r>
        <w:t xml:space="preserve">no više ako je potrebna dalja istraga. U posebno složenim slučajevima, kompanije mogu uputiti slučaj tijelu koje finansira industrija, ali koje je ovlašćeno </w:t>
      </w:r>
      <w:proofErr w:type="gramStart"/>
      <w:r>
        <w:t>od  strane</w:t>
      </w:r>
      <w:proofErr w:type="gramEnd"/>
      <w:r>
        <w:t xml:space="preserve"> vlade i koje je dužno da donese odluke u roku od sedam dana.</w:t>
      </w:r>
      <w:r w:rsidRPr="00090571">
        <w:rPr>
          <w:rStyle w:val="FootnoteReference"/>
        </w:rPr>
        <w:footnoteReference w:id="52"/>
      </w:r>
    </w:p>
    <w:p w:rsidR="00090571" w:rsidRDefault="00090571">
      <w:pPr>
        <w:pStyle w:val="BodyText9"/>
        <w:tabs>
          <w:tab w:val="left" w:pos="352"/>
        </w:tabs>
        <w:spacing w:line="264" w:lineRule="exact"/>
        <w:ind w:left="40" w:right="20"/>
        <w:jc w:val="both"/>
      </w:pPr>
    </w:p>
    <w:p w:rsidR="00090571" w:rsidRDefault="00851FB1">
      <w:pPr>
        <w:pStyle w:val="BodyText9"/>
        <w:shd w:val="clear" w:color="auto" w:fill="auto"/>
        <w:tabs>
          <w:tab w:val="left" w:pos="352"/>
        </w:tabs>
        <w:spacing w:line="264" w:lineRule="exact"/>
        <w:ind w:left="40" w:right="20"/>
        <w:jc w:val="both"/>
      </w:pPr>
      <w:r>
        <w:t>Human Right</w:t>
      </w:r>
      <w:r>
        <w:t xml:space="preserve">s </w:t>
      </w:r>
      <w:r>
        <w:rPr>
          <w:lang w:val="en-US"/>
        </w:rPr>
        <w:t>W</w:t>
      </w:r>
      <w:r>
        <w:t xml:space="preserve">atch je sažeo glavne aspekte NetzDG-a </w:t>
      </w:r>
      <w:proofErr w:type="gramStart"/>
      <w:r>
        <w:t>na</w:t>
      </w:r>
      <w:proofErr w:type="gramEnd"/>
      <w:r>
        <w:t xml:space="preserve"> sljedeći način: </w:t>
      </w:r>
    </w:p>
    <w:p w:rsidR="00090571" w:rsidRDefault="00090571">
      <w:pPr>
        <w:pStyle w:val="BodyText9"/>
        <w:shd w:val="clear" w:color="auto" w:fill="auto"/>
        <w:tabs>
          <w:tab w:val="left" w:pos="352"/>
        </w:tabs>
        <w:spacing w:line="264" w:lineRule="exact"/>
        <w:ind w:left="40" w:right="20"/>
        <w:jc w:val="both"/>
      </w:pPr>
    </w:p>
    <w:p w:rsidR="00090571" w:rsidRDefault="00851FB1">
      <w:pPr>
        <w:pStyle w:val="BodyText9"/>
        <w:shd w:val="clear" w:color="auto" w:fill="auto"/>
        <w:tabs>
          <w:tab w:val="left" w:pos="352"/>
        </w:tabs>
        <w:spacing w:line="264" w:lineRule="exact"/>
        <w:ind w:left="40" w:right="20"/>
        <w:jc w:val="both"/>
      </w:pPr>
      <w:r>
        <w:t>a)</w:t>
      </w:r>
      <w:r>
        <w:tab/>
        <w:t>Prema zakonu, Federalno ministarstvo pravde i zaštite potrošača može kazniti odgovornog pojedinca do 5 miliona eura, a kompaniju do 50 miliona eura za propust u uspostavljanju sistema usaglaš</w:t>
      </w:r>
      <w:r>
        <w:t xml:space="preserve">enosti ili ako svakih šest mjeseci ne izdaju javni izveštaj o svom postupanju u vezi sa zakonom. Visina kazne zavisi </w:t>
      </w:r>
      <w:proofErr w:type="gramStart"/>
      <w:r>
        <w:t>od</w:t>
      </w:r>
      <w:proofErr w:type="gramEnd"/>
      <w:r>
        <w:t xml:space="preserve"> težine prekršaja i broja korisnika na platformi, ali Ministarstvo još nije izradilo strukturu kazne.</w:t>
      </w:r>
    </w:p>
    <w:p w:rsidR="00090571" w:rsidRDefault="00090571">
      <w:pPr>
        <w:pStyle w:val="BodyText9"/>
        <w:shd w:val="clear" w:color="auto" w:fill="auto"/>
        <w:tabs>
          <w:tab w:val="left" w:pos="352"/>
        </w:tabs>
        <w:spacing w:line="264" w:lineRule="exact"/>
        <w:ind w:left="40" w:right="20"/>
        <w:jc w:val="both"/>
      </w:pPr>
    </w:p>
    <w:p w:rsidR="00090571" w:rsidRDefault="00851FB1">
      <w:pPr>
        <w:pStyle w:val="BodyText9"/>
        <w:shd w:val="clear" w:color="auto" w:fill="auto"/>
        <w:tabs>
          <w:tab w:val="left" w:pos="352"/>
        </w:tabs>
        <w:spacing w:line="264" w:lineRule="exact"/>
        <w:ind w:left="40" w:right="20"/>
        <w:jc w:val="both"/>
      </w:pPr>
      <w:r>
        <w:t>b)</w:t>
      </w:r>
      <w:r>
        <w:tab/>
        <w:t>Kompanije društvenih medija mor</w:t>
      </w:r>
      <w:r>
        <w:t xml:space="preserve">aju da informišu korisnike o svim odlukama donijetim kao odgovor </w:t>
      </w:r>
      <w:proofErr w:type="gramStart"/>
      <w:r>
        <w:t>na</w:t>
      </w:r>
      <w:proofErr w:type="gramEnd"/>
      <w:r>
        <w:t xml:space="preserve"> žalbe i da daju obrazloženje, ali zakon ne predviđa smislen sudski nadzor ili proces sudske žalbe kada korisnici žele da se osporavaju protiv korporativnog ili industrijskog tela odluka o </w:t>
      </w:r>
      <w:r>
        <w:t xml:space="preserve">blokiranju ili uklanjanju objave.   </w:t>
      </w:r>
    </w:p>
    <w:p w:rsidR="00090571" w:rsidRDefault="00090571">
      <w:pPr>
        <w:pStyle w:val="BodyText9"/>
        <w:shd w:val="clear" w:color="auto" w:fill="auto"/>
        <w:tabs>
          <w:tab w:val="left" w:pos="352"/>
        </w:tabs>
        <w:spacing w:line="264" w:lineRule="exact"/>
        <w:ind w:left="40" w:right="20"/>
        <w:jc w:val="both"/>
      </w:pPr>
    </w:p>
    <w:p w:rsidR="00090571" w:rsidRDefault="00851FB1">
      <w:pPr>
        <w:pStyle w:val="BodyText9"/>
        <w:shd w:val="clear" w:color="auto" w:fill="auto"/>
        <w:tabs>
          <w:tab w:val="left" w:pos="352"/>
        </w:tabs>
        <w:spacing w:line="264" w:lineRule="exact"/>
        <w:ind w:left="40" w:right="20"/>
        <w:jc w:val="both"/>
      </w:pPr>
      <w:r>
        <w:t>c)</w:t>
      </w:r>
      <w:r>
        <w:tab/>
        <w:t xml:space="preserve">Da bi se pridržavali zakona, kompanije društvenih medija su stvorile nove mehanizme za prijavljivanje navodno nezakonitog sadržaja i angažovale recenzente da analiziraju </w:t>
      </w:r>
      <w:proofErr w:type="gramStart"/>
      <w:r>
        <w:t>te</w:t>
      </w:r>
      <w:proofErr w:type="gramEnd"/>
      <w:r>
        <w:t xml:space="preserve"> </w:t>
      </w:r>
      <w:r>
        <w:lastRenderedPageBreak/>
        <w:t>izvještaje. Ovi recenzenti su se pridružil</w:t>
      </w:r>
      <w:r>
        <w:t xml:space="preserve">i timovima koje su ove kompanije već imale da nadgledaju usklađenost </w:t>
      </w:r>
      <w:proofErr w:type="gramStart"/>
      <w:r>
        <w:t>sa</w:t>
      </w:r>
      <w:proofErr w:type="gramEnd"/>
      <w:r>
        <w:t xml:space="preserve"> njihovim korisničkim ugovorima. Prema kompanijama društvenih medija Google (koji poseduje You Tube) i Facebook, svaka od njih zapošljava po 10.000 pregledača sadržaja širom svijeta, bi</w:t>
      </w:r>
      <w:r>
        <w:t xml:space="preserve">lo direktno ili preko izvođača, da nadgledaju kršenje standarda njihove zajednice i kršenja NetzDG-a. </w:t>
      </w:r>
      <w:r w:rsidRPr="00090571">
        <w:rPr>
          <w:rStyle w:val="FootnoteReference"/>
        </w:rPr>
        <w:footnoteReference w:id="53"/>
      </w:r>
    </w:p>
    <w:p w:rsidR="00090571" w:rsidRDefault="00851FB1">
      <w:pPr>
        <w:pStyle w:val="BodyText9"/>
        <w:pageBreakBefore/>
        <w:shd w:val="clear" w:color="auto" w:fill="auto"/>
        <w:spacing w:after="240" w:line="264" w:lineRule="exact"/>
        <w:ind w:left="20" w:right="20"/>
        <w:jc w:val="both"/>
      </w:pPr>
      <w:proofErr w:type="gramStart"/>
      <w:r>
        <w:lastRenderedPageBreak/>
        <w:t>NetzDG je nekoliko puta mijenjan.</w:t>
      </w:r>
      <w:proofErr w:type="gramEnd"/>
      <w:r>
        <w:t xml:space="preserve"> </w:t>
      </w:r>
      <w:proofErr w:type="gramStart"/>
      <w:r>
        <w:t>Nakon ubistva političara Valtera Lubckea 2019.</w:t>
      </w:r>
      <w:proofErr w:type="gramEnd"/>
      <w:r>
        <w:t xml:space="preserve"> </w:t>
      </w:r>
      <w:proofErr w:type="gramStart"/>
      <w:r>
        <w:t>od</w:t>
      </w:r>
      <w:proofErr w:type="gramEnd"/>
      <w:r>
        <w:t xml:space="preserve"> strane neonacista — kojem su prethodile ciljane prijetnje i </w:t>
      </w:r>
      <w:r>
        <w:t>govor mržnje na mreži — reforma NetzDG-a 2020. Godine proširila je djelokrug zakona postavljanjem dodatne obaveze izvještavanja na društvenim mrežama kojim se od platformi koje zahtijevaju da prijave određene vrste "protivpravnih" sadržaja Federalnoj kance</w:t>
      </w:r>
      <w:r>
        <w:t xml:space="preserve">lariji kriminalističke policije. </w:t>
      </w:r>
      <w:r w:rsidRPr="00090571">
        <w:rPr>
          <w:rStyle w:val="FootnoteReference"/>
        </w:rPr>
        <w:footnoteReference w:id="54"/>
      </w:r>
    </w:p>
    <w:p w:rsidR="00090571" w:rsidRDefault="00851FB1">
      <w:pPr>
        <w:pStyle w:val="BodyText9"/>
        <w:shd w:val="clear" w:color="auto" w:fill="auto"/>
        <w:spacing w:after="240" w:line="264" w:lineRule="exact"/>
        <w:ind w:left="20" w:right="20"/>
        <w:jc w:val="both"/>
      </w:pPr>
      <w:r>
        <w:t xml:space="preserve"> </w:t>
      </w:r>
      <w:proofErr w:type="gramStart"/>
      <w:r>
        <w:t>Opsežna reforma zakona o NetzDG-u uvedena je u junu 2021.</w:t>
      </w:r>
      <w:proofErr w:type="gramEnd"/>
      <w:r>
        <w:t xml:space="preserve"> </w:t>
      </w:r>
      <w:proofErr w:type="gramStart"/>
      <w:r>
        <w:t>godine</w:t>
      </w:r>
      <w:proofErr w:type="gramEnd"/>
      <w:r>
        <w:t>,</w:t>
      </w:r>
      <w:r w:rsidRPr="00090571">
        <w:rPr>
          <w:rStyle w:val="FootnoteReference"/>
        </w:rPr>
        <w:footnoteReference w:id="55"/>
      </w:r>
      <w:r>
        <w:t xml:space="preserve"> sa ciljem da se poboljšaju pr</w:t>
      </w:r>
      <w:r>
        <w:t xml:space="preserve">istupačnost kanala za prijavljivanje žalbi na nezakonit sadržaj i da se poveća sadržaj i uporedivost provajdera društvenih medija' izveštaji o transparentnosti. Osim toga, amandmanom se uvodi žalbeni postupak </w:t>
      </w:r>
      <w:proofErr w:type="gramStart"/>
      <w:r>
        <w:t>na</w:t>
      </w:r>
      <w:proofErr w:type="gramEnd"/>
      <w:r>
        <w:t xml:space="preserve"> mjere koje preduzima provajder društvenih mr</w:t>
      </w:r>
      <w:r>
        <w:t xml:space="preserve">eža. Ovlašćenja Savezne kancelarije za pravosuđe se proširuju </w:t>
      </w:r>
      <w:proofErr w:type="gramStart"/>
      <w:r>
        <w:t>na</w:t>
      </w:r>
      <w:proofErr w:type="gramEnd"/>
      <w:r>
        <w:t xml:space="preserve"> nadzorna ovlašćenja. Zbog novih zahtjeva u skladu </w:t>
      </w:r>
      <w:proofErr w:type="gramStart"/>
      <w:r>
        <w:t>sa</w:t>
      </w:r>
      <w:proofErr w:type="gramEnd"/>
      <w:r>
        <w:t xml:space="preserve"> Direktivom EU o audiovizuelnim medijskim uslugama, usluge platforme za dijeljenje videa uključene su u djelokrug Zakona o sprovođenju mrež</w:t>
      </w:r>
      <w:r>
        <w:t>e.</w:t>
      </w:r>
      <w:r w:rsidRPr="00090571">
        <w:rPr>
          <w:rStyle w:val="FootnoteReference"/>
        </w:rPr>
        <w:footnoteReference w:id="56"/>
      </w:r>
    </w:p>
    <w:p w:rsidR="00090571" w:rsidRDefault="00851FB1">
      <w:pPr>
        <w:pStyle w:val="BodyText9"/>
        <w:shd w:val="clear" w:color="auto" w:fill="auto"/>
        <w:spacing w:after="240" w:line="264" w:lineRule="exact"/>
        <w:ind w:left="20" w:right="20"/>
        <w:jc w:val="both"/>
      </w:pPr>
      <w:r>
        <w:t xml:space="preserve">Kao što je detaljnije razradio Global Legal Monitor, ove četiri glavne reforme uključuju: </w:t>
      </w:r>
    </w:p>
    <w:p w:rsidR="00090571" w:rsidRDefault="00851FB1">
      <w:pPr>
        <w:pStyle w:val="BodyText9"/>
        <w:shd w:val="clear" w:color="auto" w:fill="auto"/>
        <w:spacing w:after="240" w:line="264" w:lineRule="exact"/>
        <w:ind w:left="20" w:right="20"/>
        <w:jc w:val="both"/>
      </w:pPr>
      <w:r>
        <w:t>a) Jednostav</w:t>
      </w:r>
      <w:r>
        <w:t>nost žalbenih postupaka za korisnike: izmijenjeni Zakon o prim</w:t>
      </w:r>
      <w:r>
        <w:rPr>
          <w:lang w:val="en-US"/>
        </w:rPr>
        <w:t>ij</w:t>
      </w:r>
      <w:r>
        <w:t xml:space="preserve">eni zakona predviđa da procedura za podnošenje pritužbi </w:t>
      </w:r>
      <w:proofErr w:type="gramStart"/>
      <w:r>
        <w:t>na</w:t>
      </w:r>
      <w:proofErr w:type="gramEnd"/>
      <w:r>
        <w:t xml:space="preserve"> nezakonit sadržaj dobavljačima društvenih mreža mora biti "lako prepoznatljiv, direktno dostupan i trajno dostupan." Međutim, provajd</w:t>
      </w:r>
      <w:r>
        <w:t>eri nisu ujednačeno prim</w:t>
      </w:r>
      <w:r>
        <w:rPr>
          <w:lang w:val="en-US"/>
        </w:rPr>
        <w:t>ij</w:t>
      </w:r>
      <w:r>
        <w:t>enili ovaj zaht</w:t>
      </w:r>
      <w:r>
        <w:rPr>
          <w:lang w:val="en-US"/>
        </w:rPr>
        <w:t>j</w:t>
      </w:r>
      <w:r>
        <w:t xml:space="preserve">ev, a neki obrasci za podnošenje žalbi su skriveni </w:t>
      </w:r>
      <w:proofErr w:type="gramStart"/>
      <w:r>
        <w:t>ili</w:t>
      </w:r>
      <w:proofErr w:type="gramEnd"/>
      <w:r>
        <w:t xml:space="preserve"> dostupni samo nakon nekoliko klikova. </w:t>
      </w:r>
      <w:proofErr w:type="gramStart"/>
      <w:r>
        <w:t>Da bi se postupak žalbe poboljšao jednostavnijim za korisnike, amandman takođe dodaje jezik koji zahtijeva da žalbeni pos</w:t>
      </w:r>
      <w:r>
        <w:t>tupak bude „jednostavan za korišćenje."</w:t>
      </w:r>
      <w:proofErr w:type="gramEnd"/>
    </w:p>
    <w:p w:rsidR="00090571" w:rsidRDefault="00851FB1">
      <w:pPr>
        <w:pStyle w:val="BodyText9"/>
        <w:shd w:val="clear" w:color="auto" w:fill="auto"/>
        <w:spacing w:after="240" w:line="264" w:lineRule="exact"/>
        <w:ind w:left="20" w:right="20"/>
        <w:jc w:val="both"/>
      </w:pPr>
      <w:r>
        <w:t xml:space="preserve">b) Procedura žalbe i arbitraža: Amandman obavezuje provajdere društvenih medija da uspostave mehanizam kojim podnosilac žalbe i pogođeni korisnik mogu pokrenuti reviziju odluke o uklanjanju </w:t>
      </w:r>
      <w:proofErr w:type="gramStart"/>
      <w:r>
        <w:t>ili</w:t>
      </w:r>
      <w:proofErr w:type="gramEnd"/>
      <w:r>
        <w:t xml:space="preserve"> neuklanjanju označenog</w:t>
      </w:r>
      <w:r>
        <w:t xml:space="preserve"> sadržaja (procedura žalbe). Žalba </w:t>
      </w:r>
      <w:proofErr w:type="gramStart"/>
      <w:r>
        <w:t>na</w:t>
      </w:r>
      <w:proofErr w:type="gramEnd"/>
      <w:r>
        <w:t xml:space="preserve"> prvobitnu odluku mora se podnijeti u roku od dvije sedmice. </w:t>
      </w:r>
      <w:proofErr w:type="gramStart"/>
      <w:r>
        <w:t>Štaviše, amandman ovlašćuje Saveznu kancelariju za pravosuđe da odobri arbitražna tijela organizovana po privatnom pravu za vansudsko rešavanje sporova između</w:t>
      </w:r>
      <w:r>
        <w:t xml:space="preserve"> podnosilaca žalbe/korisnika i provajdera društvenih medija.</w:t>
      </w:r>
      <w:proofErr w:type="gramEnd"/>
      <w:r>
        <w:t xml:space="preserve"> </w:t>
      </w:r>
      <w:proofErr w:type="gramStart"/>
      <w:r>
        <w:t>Učešće u arbitraži je dobrovoljno.</w:t>
      </w:r>
      <w:proofErr w:type="gramEnd"/>
      <w:r>
        <w:t xml:space="preserve">      </w:t>
      </w:r>
    </w:p>
    <w:p w:rsidR="00090571" w:rsidRDefault="00851FB1">
      <w:pPr>
        <w:pStyle w:val="BodyText9"/>
        <w:shd w:val="clear" w:color="auto" w:fill="auto"/>
        <w:spacing w:after="240" w:line="264" w:lineRule="exact"/>
        <w:ind w:left="20" w:right="20"/>
        <w:jc w:val="both"/>
      </w:pPr>
      <w:r>
        <w:t xml:space="preserve">c) Izveštaji o transparentnosti: Mreže društvenih medija koje prime više </w:t>
      </w:r>
      <w:proofErr w:type="gramStart"/>
      <w:r>
        <w:t>od</w:t>
      </w:r>
      <w:proofErr w:type="gramEnd"/>
      <w:r>
        <w:t xml:space="preserve"> 100 pritužbi na nezakonit sadržaj u kalendarskoj godini moraju da objavljuju d</w:t>
      </w:r>
      <w:r>
        <w:t xml:space="preserve">vogodišnje izvještaje na njemačkom o tome kako se bave ovim pritužbama. </w:t>
      </w:r>
      <w:proofErr w:type="gramStart"/>
      <w:r>
        <w:t>Amandman zahtijeva da više informacija bude uključeno u transparentnost Izvještaja.</w:t>
      </w:r>
      <w:proofErr w:type="gramEnd"/>
      <w:r>
        <w:t xml:space="preserve"> </w:t>
      </w:r>
      <w:proofErr w:type="gramStart"/>
      <w:r>
        <w:t>Između ostalog, provajderi moraju da prijave da li se koriste procedure za automatizovano otkrivanje</w:t>
      </w:r>
      <w:r>
        <w:t xml:space="preserve"> nezakonitog sadržaja i, ako da, kako funkcionišu.</w:t>
      </w:r>
      <w:proofErr w:type="gramEnd"/>
      <w:r>
        <w:t xml:space="preserve"> Pored toga, izvještaji moraju dodatno podijeliti brojeve žalbi prema količini vremena koje je bilo potrebno da se ukloni označeni sadržaj (u roku </w:t>
      </w:r>
      <w:proofErr w:type="gramStart"/>
      <w:r>
        <w:t>od</w:t>
      </w:r>
      <w:proofErr w:type="gramEnd"/>
      <w:r>
        <w:t xml:space="preserve"> 24 sata, u roku od 48 sati, u roku od nedelju dana ili k</w:t>
      </w:r>
      <w:r>
        <w:t>asnije).</w:t>
      </w:r>
    </w:p>
    <w:p w:rsidR="00090571" w:rsidRDefault="00851FB1">
      <w:pPr>
        <w:pStyle w:val="BodyText9"/>
        <w:shd w:val="clear" w:color="auto" w:fill="auto"/>
        <w:spacing w:after="240" w:line="264" w:lineRule="exact"/>
        <w:ind w:left="20" w:right="2760"/>
        <w:jc w:val="both"/>
      </w:pPr>
      <w:r>
        <w:t xml:space="preserve">d) Proširenje ovlašćenja Savezne kancelarije za pravosuđe: U skladu </w:t>
      </w:r>
      <w:proofErr w:type="gramStart"/>
      <w:r>
        <w:t>sa</w:t>
      </w:r>
      <w:proofErr w:type="gramEnd"/>
      <w:r>
        <w:t xml:space="preserve"> starom verzijom Zakona o sprovođenju mreže, </w:t>
      </w:r>
      <w:r>
        <w:lastRenderedPageBreak/>
        <w:t xml:space="preserve">Savezna kancelarija za pravosuđe je mogla da izriče kazne samo za nepoštovanje odredbi Zakona o sprovođenju mreže. </w:t>
      </w:r>
      <w:proofErr w:type="gramStart"/>
      <w:r>
        <w:t>Amandman daje Fed</w:t>
      </w:r>
      <w:r>
        <w:t>eralnom uredu za pravosuđe ovlašćenja da nadzire poštovanje zakona.</w:t>
      </w:r>
      <w:proofErr w:type="gramEnd"/>
      <w:r>
        <w:t xml:space="preserve"> Kada utvrdi da je došlo do kršenja, kancelarija može da zahtijeva </w:t>
      </w:r>
      <w:proofErr w:type="gramStart"/>
      <w:r>
        <w:t>od</w:t>
      </w:r>
      <w:proofErr w:type="gramEnd"/>
      <w:r>
        <w:t xml:space="preserve"> provajdera društvenih medija da otkloni kršenje. </w:t>
      </w:r>
      <w:proofErr w:type="gramStart"/>
      <w:r>
        <w:t>Takođe, može da traži informacije o mjerama sprovođenja, broju registr</w:t>
      </w:r>
      <w:r>
        <w:t>ovanih korisnika u Njemačkoj i broju pritužbi primljenih u protekloj kalendarskoj godini.</w:t>
      </w:r>
      <w:proofErr w:type="gramEnd"/>
      <w:r>
        <w:t xml:space="preserve"> </w:t>
      </w:r>
      <w:proofErr w:type="gramStart"/>
      <w:r>
        <w:t>Svjedoci su dužni da svjedoče u upravnom postupku.</w:t>
      </w:r>
      <w:proofErr w:type="gramEnd"/>
      <w:r>
        <w:t xml:space="preserve"> </w:t>
      </w:r>
      <w:r w:rsidRPr="00090571">
        <w:rPr>
          <w:rStyle w:val="FootnoteReference"/>
        </w:rPr>
        <w:footnoteReference w:id="57"/>
      </w:r>
    </w:p>
    <w:p w:rsidR="00090571" w:rsidRDefault="00851FB1">
      <w:pPr>
        <w:pStyle w:val="BodyText9"/>
        <w:shd w:val="clear" w:color="auto" w:fill="auto"/>
        <w:spacing w:after="240" w:line="264" w:lineRule="exact"/>
        <w:ind w:left="20" w:right="2760"/>
        <w:jc w:val="both"/>
      </w:pPr>
      <w:r>
        <w:t xml:space="preserve"> Kako je objasnila Judit Bajer, jednostavno brisanje </w:t>
      </w:r>
      <w:proofErr w:type="gramStart"/>
      <w:r>
        <w:t>ili</w:t>
      </w:r>
      <w:proofErr w:type="gramEnd"/>
      <w:r>
        <w:t xml:space="preserve"> blokiranje sadržaja nije pomoglo da se zaustavi </w:t>
      </w:r>
      <w:r>
        <w:t xml:space="preserve">plima sve većeg izražavanja ekstremista u Nemačkoj. </w:t>
      </w:r>
    </w:p>
    <w:p w:rsidR="00090571" w:rsidRDefault="00851FB1">
      <w:pPr>
        <w:pStyle w:val="BodyText9"/>
        <w:shd w:val="clear" w:color="auto" w:fill="auto"/>
        <w:spacing w:after="240" w:line="264" w:lineRule="exact"/>
        <w:ind w:left="20" w:right="2760"/>
        <w:jc w:val="both"/>
      </w:pPr>
      <w:proofErr w:type="gramStart"/>
      <w:r>
        <w:t>Stoga je izmijenjeni akt imao za cilj da informacije o onlajn govoru mržnje i pretnji zločinima iz mržnje kanališe u krivične organe, proširujući obim slučajeva u kojima se pristup podacima korisnika mož</w:t>
      </w:r>
      <w:r>
        <w:t>e odobriti Federalnoj upravi kriminalističke policije i službama nacionalne bezbjednosti.</w:t>
      </w:r>
      <w:proofErr w:type="gramEnd"/>
      <w:r>
        <w:t xml:space="preserve"> </w:t>
      </w:r>
      <w:proofErr w:type="gramStart"/>
      <w:r>
        <w:t>Osim toga, zakon je takođe dodao nove radnje u Krivični zakonik kako bi uključio ponašanja koja su postala rasprostranjena u onlajn kontekstu.</w:t>
      </w:r>
      <w:proofErr w:type="gramEnd"/>
      <w:r>
        <w:t xml:space="preserve"> Na primer, krivično dje</w:t>
      </w:r>
      <w:r>
        <w:t>lo 'prijetnje' označilo je prijetnje krivičnim d</w:t>
      </w:r>
      <w:r>
        <w:rPr>
          <w:lang w:val="en-US"/>
        </w:rPr>
        <w:t>j</w:t>
      </w:r>
      <w:r>
        <w:t xml:space="preserve">elom koje je podrazumijevalo najmanje godinu </w:t>
      </w:r>
      <w:proofErr w:type="gramStart"/>
      <w:r>
        <w:t>dana</w:t>
      </w:r>
      <w:proofErr w:type="gramEnd"/>
      <w:r>
        <w:t xml:space="preserve"> zatvora - to nije uključivalo prijetnje polnom samoopredjeljenju, tjelesnom integritetu ili prijetnju nanošenjem teške materijalne štete - tipične prijetnje </w:t>
      </w:r>
      <w:r>
        <w:t>na internetu.</w:t>
      </w:r>
      <w:r w:rsidRPr="00090571">
        <w:rPr>
          <w:rStyle w:val="FootnoteReference"/>
        </w:rPr>
        <w:footnoteReference w:id="58"/>
      </w:r>
    </w:p>
    <w:p w:rsidR="00090571" w:rsidRDefault="00851FB1">
      <w:pPr>
        <w:pStyle w:val="BodyText9"/>
        <w:shd w:val="clear" w:color="auto" w:fill="auto"/>
        <w:spacing w:after="240" w:line="264" w:lineRule="exact"/>
        <w:ind w:left="20" w:right="2760"/>
        <w:jc w:val="both"/>
        <w:rPr>
          <w:b/>
          <w:bCs/>
        </w:rPr>
      </w:pPr>
      <w:r>
        <w:rPr>
          <w:b/>
          <w:bCs/>
        </w:rPr>
        <w:t>7.1. IZAZOVI I KRITIČKI STAVOVI</w:t>
      </w:r>
    </w:p>
    <w:p w:rsidR="00090571" w:rsidRDefault="00851FB1">
      <w:pPr>
        <w:pStyle w:val="BodyText9"/>
        <w:shd w:val="clear" w:color="auto" w:fill="auto"/>
        <w:spacing w:after="240" w:line="264" w:lineRule="exact"/>
        <w:ind w:left="20" w:right="2760"/>
        <w:jc w:val="both"/>
      </w:pPr>
      <w:proofErr w:type="gramStart"/>
      <w:r>
        <w:t>Zakon o sprovođenju mreže je u velikoj mjeri kritikovan otkako je usvojen 2017.</w:t>
      </w:r>
      <w:proofErr w:type="gramEnd"/>
      <w:r>
        <w:t xml:space="preserve"> </w:t>
      </w:r>
    </w:p>
    <w:p w:rsidR="00090571" w:rsidRDefault="00851FB1">
      <w:pPr>
        <w:pStyle w:val="BodyText9"/>
        <w:shd w:val="clear" w:color="auto" w:fill="auto"/>
        <w:spacing w:after="363" w:line="264" w:lineRule="exact"/>
        <w:ind w:right="20"/>
        <w:jc w:val="both"/>
      </w:pPr>
      <w:proofErr w:type="gramStart"/>
      <w:r>
        <w:t xml:space="preserve">Organizacije za ljudska prava, kao što je Human Rights </w:t>
      </w:r>
      <w:r>
        <w:rPr>
          <w:lang w:val="en-US"/>
        </w:rPr>
        <w:t>W</w:t>
      </w:r>
      <w:r>
        <w:t xml:space="preserve">atch, kažu </w:t>
      </w:r>
      <w:r>
        <w:t>da je njemački zakon suštinski pogrešan.</w:t>
      </w:r>
      <w:proofErr w:type="gramEnd"/>
      <w:r>
        <w:t xml:space="preserve"> Oni su prepoznali opravdanu zabrinutost vlada i javnosti u vezi </w:t>
      </w:r>
      <w:proofErr w:type="gramStart"/>
      <w:r>
        <w:t>sa</w:t>
      </w:r>
      <w:proofErr w:type="gramEnd"/>
      <w:r>
        <w:t xml:space="preserve"> proliferacijom nelegalnog ili uvredljivog sadržaja na mreži. </w:t>
      </w:r>
      <w:proofErr w:type="gramStart"/>
      <w:r>
        <w:t>Međutim, kako je direktor Human Rights Vatch-a za Njemačku objasnio njihove stavove poč</w:t>
      </w:r>
      <w:r>
        <w:t>etkom 2018.</w:t>
      </w:r>
      <w:proofErr w:type="gramEnd"/>
      <w:r>
        <w:t xml:space="preserve"> </w:t>
      </w:r>
      <w:proofErr w:type="gramStart"/>
      <w:r>
        <w:t>godine</w:t>
      </w:r>
      <w:proofErr w:type="gramEnd"/>
      <w:r>
        <w:t>, zakon je „nejasan, preširok i pretvara privatne kompanije u pretjerano revnosne cenzoriste kako bi izbjegli velike kazne, ostavljajući korisnike bez sudskog nadzora ili prava na žalbu“.</w:t>
      </w:r>
    </w:p>
    <w:p w:rsidR="00090571" w:rsidRDefault="00851FB1">
      <w:pPr>
        <w:pStyle w:val="BodyText9"/>
        <w:spacing w:after="240" w:line="264" w:lineRule="exact"/>
        <w:ind w:left="20" w:right="20"/>
        <w:jc w:val="both"/>
      </w:pPr>
      <w:r>
        <w:t xml:space="preserve">Kritike su se pojačale primjenom zakona, posebno </w:t>
      </w:r>
      <w:r>
        <w:t xml:space="preserve">kada su neki istaknuti korisnici društvenih medija blokirani </w:t>
      </w:r>
      <w:proofErr w:type="gramStart"/>
      <w:r>
        <w:t>ili</w:t>
      </w:r>
      <w:proofErr w:type="gramEnd"/>
      <w:r>
        <w:t xml:space="preserve"> su im nalozi privremeno suspendovani. Takođe, četiri velike političke stranke su se protivile zakonu: Ljevica, koja je glasala protiv zakona; Slobodne demokrate i </w:t>
      </w:r>
      <w:r>
        <w:lastRenderedPageBreak/>
        <w:t>Alternativa za Njemačku, koj</w:t>
      </w:r>
      <w:r>
        <w:t xml:space="preserve">i nisu bili u Parlamentu kada je zakon donijet; i Zelena stranka, koja je bila uzdržana </w:t>
      </w:r>
      <w:proofErr w:type="gramStart"/>
      <w:r>
        <w:t>od</w:t>
      </w:r>
      <w:proofErr w:type="gramEnd"/>
      <w:r>
        <w:t xml:space="preserve"> glasanja u parlamentu.</w:t>
      </w:r>
      <w:r w:rsidRPr="00090571">
        <w:rPr>
          <w:rStyle w:val="FootnoteReference"/>
        </w:rPr>
        <w:footnoteReference w:id="59"/>
      </w:r>
      <w:r>
        <w:t xml:space="preserve">  </w:t>
      </w:r>
    </w:p>
    <w:p w:rsidR="00090571" w:rsidRDefault="00851FB1">
      <w:pPr>
        <w:pStyle w:val="BodyText9"/>
        <w:spacing w:after="240" w:line="264" w:lineRule="exact"/>
        <w:ind w:left="20" w:right="20"/>
        <w:jc w:val="both"/>
      </w:pPr>
      <w:r>
        <w:t>Još jedan nedostatak je primijećen jer je, prema Human Rights Vatch-u, NetzDG imao domino efekat otkako su vlade širom svijeta kori</w:t>
      </w:r>
      <w:r>
        <w:t>stile primer njemačkog zakona da ograniče govor na mreži "primoravajući kompanije društvenih medija da djeluju kao njihovi cenzori”.</w:t>
      </w:r>
      <w:r w:rsidRPr="00090571">
        <w:rPr>
          <w:rStyle w:val="FootnoteReference"/>
        </w:rPr>
        <w:footnoteReference w:id="60"/>
      </w:r>
      <w:r>
        <w:t xml:space="preserve"> </w:t>
      </w:r>
    </w:p>
    <w:p w:rsidR="00090571" w:rsidRDefault="00090571">
      <w:pPr>
        <w:pStyle w:val="BodyText9"/>
        <w:spacing w:after="240" w:line="264" w:lineRule="exact"/>
        <w:ind w:left="20" w:right="20"/>
        <w:jc w:val="both"/>
      </w:pPr>
    </w:p>
    <w:p w:rsidR="00090571" w:rsidRDefault="00851FB1">
      <w:pPr>
        <w:pStyle w:val="BodyText9"/>
        <w:shd w:val="clear" w:color="auto" w:fill="auto"/>
        <w:spacing w:after="240" w:line="264" w:lineRule="exact"/>
        <w:ind w:left="20" w:right="20"/>
        <w:jc w:val="both"/>
      </w:pPr>
      <w:proofErr w:type="gramStart"/>
      <w:r>
        <w:t>Zakonodavni proces za usvajanje izm</w:t>
      </w:r>
      <w:r>
        <w:rPr>
          <w:lang w:val="en-US"/>
        </w:rPr>
        <w:t>ij</w:t>
      </w:r>
      <w:r>
        <w:t>enjenog NetzDG-a (2021) je takođe bio izazovan.</w:t>
      </w:r>
      <w:proofErr w:type="gramEnd"/>
      <w:r>
        <w:t xml:space="preserve"> Pored osporavanja opozicion</w:t>
      </w:r>
      <w:r>
        <w:t xml:space="preserve">ih partija iz različitih razloga, predsjednik Skupštine je odbio da potpiše prijedlog zakona, izražavajući ustavnu zabrinutost i pozivajući </w:t>
      </w:r>
      <w:proofErr w:type="gramStart"/>
      <w:r>
        <w:t>na</w:t>
      </w:r>
      <w:proofErr w:type="gramEnd"/>
      <w:r>
        <w:t xml:space="preserve"> konkretna poboljšanja u vezi sa obavezom izvještavanja platformi društvenih medija koje su davale pristup podacim</w:t>
      </w:r>
      <w:r>
        <w:t xml:space="preserve">a korisnika, uključujući njihovu lozinku i druge informacije koje efektivno daju pristup korisničkom profilu. </w:t>
      </w:r>
      <w:proofErr w:type="gramStart"/>
      <w:r>
        <w:t>Uzimajući u obzir odluku Ustavnog suda o sličnom pitanju, 2020.</w:t>
      </w:r>
      <w:proofErr w:type="gramEnd"/>
      <w:r>
        <w:t xml:space="preserve"> </w:t>
      </w:r>
      <w:proofErr w:type="gramStart"/>
      <w:r>
        <w:t>godine</w:t>
      </w:r>
      <w:proofErr w:type="gramEnd"/>
      <w:r>
        <w:t>, a u cilju prevazilaženja ustavnog problema, donesen je novi „zakon o popra</w:t>
      </w:r>
      <w:r>
        <w:t xml:space="preserve">vci“; donijeta je  odluka da se suzi obim slučajeva u kojima vlasti mogu da zahtijevaju pristup korisničkim' podacima o navedenim krivičnim radnjama.  </w:t>
      </w:r>
      <w:r w:rsidRPr="00090571">
        <w:rPr>
          <w:rStyle w:val="FootnoteReference"/>
        </w:rPr>
        <w:footnoteReference w:id="61"/>
      </w:r>
    </w:p>
    <w:p w:rsidR="00090571" w:rsidRDefault="00851FB1">
      <w:pPr>
        <w:pStyle w:val="BodyText9"/>
        <w:shd w:val="clear" w:color="auto" w:fill="auto"/>
        <w:spacing w:after="240" w:line="264" w:lineRule="exact"/>
        <w:ind w:left="20" w:right="20"/>
        <w:jc w:val="both"/>
      </w:pPr>
      <w:proofErr w:type="gramStart"/>
      <w:r>
        <w:t>U izmijenjenom zakonu iz 2021.</w:t>
      </w:r>
      <w:proofErr w:type="gramEnd"/>
      <w:r>
        <w:t xml:space="preserve"> </w:t>
      </w:r>
      <w:proofErr w:type="gramStart"/>
      <w:r>
        <w:t>godine</w:t>
      </w:r>
      <w:proofErr w:type="gramEnd"/>
      <w:r>
        <w:t xml:space="preserve"> obav</w:t>
      </w:r>
      <w:r>
        <w:t>eza izvještavanja predviđa sudski nalog za primanje lozinki i drugih podataka koji omogućavaju pristup korisničkim profilima ili čak uređajima.Kako je primijetila Judit Bajer, nadležni očekuju veliki talas prijavljivanja, pa je u Ministarstvu otvoreno neko</w:t>
      </w:r>
      <w:r>
        <w:t xml:space="preserve">liko stotina novih radnih mjesta. Da bi mogli da se izbore </w:t>
      </w:r>
      <w:proofErr w:type="gramStart"/>
      <w:r>
        <w:t>sa</w:t>
      </w:r>
      <w:proofErr w:type="gramEnd"/>
      <w:r>
        <w:t xml:space="preserve"> povećanim obimom posla, formirano je novo odjeljenje u okviru Federalne uprave kriminalističke policije. </w:t>
      </w:r>
      <w:r w:rsidRPr="00090571">
        <w:rPr>
          <w:rStyle w:val="FootnoteReference"/>
        </w:rPr>
        <w:footnoteReference w:id="62"/>
      </w:r>
    </w:p>
    <w:p w:rsidR="00090571" w:rsidRDefault="00090571">
      <w:pPr>
        <w:pStyle w:val="BodyText9"/>
        <w:shd w:val="clear" w:color="auto" w:fill="auto"/>
        <w:spacing w:after="240" w:line="264" w:lineRule="exact"/>
        <w:ind w:left="720" w:right="20"/>
        <w:jc w:val="both"/>
      </w:pPr>
    </w:p>
    <w:p w:rsidR="00090571" w:rsidRDefault="00851FB1">
      <w:pPr>
        <w:pStyle w:val="BodyText9"/>
        <w:numPr>
          <w:ilvl w:val="0"/>
          <w:numId w:val="2"/>
        </w:numPr>
        <w:shd w:val="clear" w:color="auto" w:fill="auto"/>
        <w:spacing w:after="240" w:line="264" w:lineRule="exact"/>
        <w:ind w:right="20"/>
        <w:jc w:val="both"/>
        <w:rPr>
          <w:b/>
          <w:bCs/>
        </w:rPr>
      </w:pPr>
      <w:r>
        <w:rPr>
          <w:b/>
          <w:bCs/>
        </w:rPr>
        <w:t>SLUČAJ AUSTRIJE</w:t>
      </w:r>
    </w:p>
    <w:p w:rsidR="00090571" w:rsidRDefault="00851FB1">
      <w:pPr>
        <w:pStyle w:val="BodyText9"/>
        <w:shd w:val="clear" w:color="auto" w:fill="auto"/>
        <w:spacing w:after="240" w:line="264" w:lineRule="exact"/>
        <w:ind w:right="20"/>
        <w:jc w:val="both"/>
      </w:pPr>
      <w:r>
        <w:t xml:space="preserve">Kao dio regulatornog paketa protiv govora mržnje </w:t>
      </w:r>
      <w:proofErr w:type="gramStart"/>
      <w:r>
        <w:t>na</w:t>
      </w:r>
      <w:proofErr w:type="gramEnd"/>
      <w:r>
        <w:t xml:space="preserve"> internetu,</w:t>
      </w:r>
      <w:r>
        <w:t xml:space="preserve"> Austrija je uvela nove obaveze za onlajn komunikacione platforme. Novi Zakon o komunikacionim platformama ("Kommunikationsplattformen-Gesetz", KoPlG)</w:t>
      </w:r>
      <w:r w:rsidRPr="00090571">
        <w:rPr>
          <w:rStyle w:val="FootnoteReference"/>
        </w:rPr>
        <w:footnoteReference w:id="63"/>
      </w:r>
      <w:r>
        <w:t xml:space="preserve"> primjenjuje se </w:t>
      </w:r>
      <w:proofErr w:type="gramStart"/>
      <w:r>
        <w:t>na</w:t>
      </w:r>
      <w:proofErr w:type="gramEnd"/>
      <w:r>
        <w:t xml:space="preserve"> domaće i strane provajdere profitnih komunikacionih platformi koji imaju više od 100.000 korisnika u Austriji ili prihode u Austriji većeod 500.000 eura. Novi zakon je stupio </w:t>
      </w:r>
      <w:proofErr w:type="gramStart"/>
      <w:r>
        <w:t>na</w:t>
      </w:r>
      <w:proofErr w:type="gramEnd"/>
      <w:r>
        <w:t xml:space="preserve"> snagu 1. </w:t>
      </w:r>
      <w:proofErr w:type="gramStart"/>
      <w:r>
        <w:t>januara</w:t>
      </w:r>
      <w:proofErr w:type="gramEnd"/>
      <w:r>
        <w:t xml:space="preserve"> 2021.</w:t>
      </w:r>
    </w:p>
    <w:p w:rsidR="00090571" w:rsidRDefault="00851FB1">
      <w:pPr>
        <w:pStyle w:val="BodyText9"/>
        <w:spacing w:before="317" w:after="240" w:line="264" w:lineRule="exact"/>
        <w:ind w:right="20"/>
        <w:jc w:val="both"/>
      </w:pPr>
      <w:r>
        <w:t xml:space="preserve">Gabriela Staber i Angelika Stutz, pravni eksperti </w:t>
      </w:r>
      <w:r>
        <w:t xml:space="preserve">advokatske firme CMS-Law iz Beča, razradile su glavne elemente novog zakona </w:t>
      </w:r>
      <w:proofErr w:type="gramStart"/>
      <w:r>
        <w:t>na</w:t>
      </w:r>
      <w:proofErr w:type="gramEnd"/>
      <w:r>
        <w:t xml:space="preserve"> sljedeći način:  </w:t>
      </w:r>
      <w:r w:rsidRPr="00090571">
        <w:rPr>
          <w:rStyle w:val="FootnoteReference"/>
        </w:rPr>
        <w:footnoteReference w:id="64"/>
      </w:r>
    </w:p>
    <w:p w:rsidR="00090571" w:rsidRDefault="00851FB1">
      <w:pPr>
        <w:pStyle w:val="BodyText9"/>
        <w:numPr>
          <w:ilvl w:val="0"/>
          <w:numId w:val="4"/>
        </w:numPr>
        <w:spacing w:before="317" w:after="240" w:line="264" w:lineRule="exact"/>
        <w:ind w:right="20"/>
        <w:jc w:val="both"/>
      </w:pPr>
      <w:r>
        <w:lastRenderedPageBreak/>
        <w:t xml:space="preserve">Izuzeta su onlajn tržišta, neprofitne onlajn enciklopedije (kao što je Wikipedia) i platforme za učenje, platforme novina i televizijskih kompanija </w:t>
      </w:r>
      <w:r>
        <w:t xml:space="preserve">koje hostuju njihove novinarske ponude i aplikacije koje se koriste za individualnu komunikaciju. </w:t>
      </w:r>
    </w:p>
    <w:p w:rsidR="00090571" w:rsidRDefault="00851FB1">
      <w:pPr>
        <w:pStyle w:val="BodyText9"/>
        <w:numPr>
          <w:ilvl w:val="0"/>
          <w:numId w:val="4"/>
        </w:numPr>
        <w:spacing w:before="317" w:after="240" w:line="264" w:lineRule="exact"/>
        <w:ind w:right="20"/>
        <w:jc w:val="both"/>
      </w:pPr>
      <w:r>
        <w:t xml:space="preserve">Video sadržaj </w:t>
      </w:r>
      <w:proofErr w:type="gramStart"/>
      <w:r>
        <w:t>na</w:t>
      </w:r>
      <w:proofErr w:type="gramEnd"/>
      <w:r>
        <w:t xml:space="preserve"> platformama za dijeljenje videa regulisan je pravilima Zakona o audio-vizuelnim medijskim uslugama, dok se Zakon o komunikacionim platformam</w:t>
      </w:r>
      <w:r>
        <w:t>a primjenjuje na ostatak njihovog sadržaja.</w:t>
      </w:r>
    </w:p>
    <w:p w:rsidR="00090571" w:rsidRDefault="00851FB1">
      <w:pPr>
        <w:pStyle w:val="BodyText9"/>
        <w:numPr>
          <w:ilvl w:val="0"/>
          <w:numId w:val="4"/>
        </w:numPr>
        <w:spacing w:before="317" w:after="240" w:line="264" w:lineRule="exact"/>
        <w:ind w:right="20"/>
        <w:jc w:val="both"/>
      </w:pPr>
      <w:proofErr w:type="gramStart"/>
      <w:r>
        <w:t>Od</w:t>
      </w:r>
      <w:proofErr w:type="gramEnd"/>
      <w:r>
        <w:t xml:space="preserve"> regulatornog organa se traži da vodi (deklarativni) spisak platformi na koje se primjenjuju nova pravila. Ova lista mora biti sastavljena </w:t>
      </w:r>
      <w:proofErr w:type="gramStart"/>
      <w:r>
        <w:t>na</w:t>
      </w:r>
      <w:proofErr w:type="gramEnd"/>
      <w:r>
        <w:t xml:space="preserve"> sopstvenu inicijativu organa pošto ne postoji obaveza platforme da o</w:t>
      </w:r>
      <w:r>
        <w:t>bavijesti organ kada započne ili prekine svoje usluge.</w:t>
      </w:r>
    </w:p>
    <w:p w:rsidR="00090571" w:rsidRDefault="00851FB1">
      <w:pPr>
        <w:pStyle w:val="BodyText9"/>
        <w:numPr>
          <w:ilvl w:val="0"/>
          <w:numId w:val="4"/>
        </w:numPr>
        <w:shd w:val="clear" w:color="auto" w:fill="auto"/>
        <w:spacing w:before="317" w:after="240" w:line="264" w:lineRule="exact"/>
        <w:ind w:right="20"/>
        <w:jc w:val="both"/>
      </w:pPr>
      <w:r>
        <w:t xml:space="preserve">Nova pravila zahtijevaju da platforme: </w:t>
      </w:r>
    </w:p>
    <w:p w:rsidR="00090571" w:rsidRDefault="00851FB1">
      <w:pPr>
        <w:pStyle w:val="BodyText9"/>
        <w:shd w:val="clear" w:color="auto" w:fill="auto"/>
        <w:spacing w:before="317" w:after="240" w:line="264" w:lineRule="exact"/>
        <w:ind w:left="644" w:right="20"/>
        <w:jc w:val="both"/>
      </w:pPr>
      <w:r>
        <w:t xml:space="preserve">• </w:t>
      </w:r>
      <w:r>
        <w:tab/>
        <w:t>Imenuju i obavijeste organ: a) ovlašćenog predstavnika koji je odgovoran za poštovanje novih zakona, i b) predstavnika koji je u stanju da prihvati službene k</w:t>
      </w:r>
      <w:r>
        <w:t xml:space="preserve">omunikacije u ime platforme (možda se radi o istoj osobi, </w:t>
      </w:r>
      <w:proofErr w:type="gramStart"/>
      <w:r>
        <w:t>ali</w:t>
      </w:r>
      <w:proofErr w:type="gramEnd"/>
      <w:r>
        <w:t xml:space="preserve"> moraju da govore njemački).      </w:t>
      </w:r>
    </w:p>
    <w:p w:rsidR="00090571" w:rsidRDefault="00851FB1">
      <w:pPr>
        <w:pStyle w:val="BodyText9"/>
        <w:shd w:val="clear" w:color="auto" w:fill="auto"/>
        <w:spacing w:before="317" w:after="240" w:line="264" w:lineRule="exact"/>
        <w:ind w:left="644" w:right="20"/>
        <w:jc w:val="both"/>
      </w:pPr>
      <w:r>
        <w:t>•</w:t>
      </w:r>
      <w:r>
        <w:tab/>
        <w:t xml:space="preserve"> Postavite "efikasnu i transparentnu proceduru" za prijavu i brisanje nelegalnog sadržaja: a) Brisanje se mora izvršiti u roku od 24 sata ako je nezakonitost </w:t>
      </w:r>
      <w:r>
        <w:t>"očigledna pravnom laiku (...)", ili u roku od sedam dana ako je potrebno detaljno ispitivanje; b) Mora postojati žalbeni postupak za korisnike na koje utiče brisanje ili blokiranje kako bi se izbjeglo "prekomjerno blokiranje"; c) Nezakoniti sadržaj obuhva</w:t>
      </w:r>
      <w:r>
        <w:t>ta, na primjer, klevetu, uznemiravanje, pornografiju koja uključuje maloljetnike, rasistički, diskriminatorski ili nacional-socijalistički sadržaj, neovlašćene fotografije, uhođenje putem telekomunikacija.</w:t>
      </w:r>
    </w:p>
    <w:p w:rsidR="00090571" w:rsidRDefault="00851FB1">
      <w:pPr>
        <w:pStyle w:val="BodyText9"/>
        <w:shd w:val="clear" w:color="auto" w:fill="auto"/>
        <w:spacing w:before="317" w:after="240" w:line="264" w:lineRule="exact"/>
        <w:ind w:left="644" w:right="20"/>
        <w:jc w:val="both"/>
      </w:pPr>
      <w:r>
        <w:t>• Prijavi</w:t>
      </w:r>
      <w:r>
        <w:rPr>
          <w:lang w:val="en-US"/>
        </w:rPr>
        <w:t>e</w:t>
      </w:r>
      <w:r>
        <w:t xml:space="preserve"> broj i rezultate obavještenja godišnje </w:t>
      </w:r>
      <w:r>
        <w:t>(</w:t>
      </w:r>
      <w:proofErr w:type="gramStart"/>
      <w:r>
        <w:t>ili</w:t>
      </w:r>
      <w:proofErr w:type="gramEnd"/>
      <w:r>
        <w:t xml:space="preserve"> polugodišnje ako broj korisnika prelazi milion).</w:t>
      </w:r>
    </w:p>
    <w:p w:rsidR="00090571" w:rsidRDefault="00851FB1">
      <w:pPr>
        <w:pStyle w:val="BodyText9"/>
        <w:spacing w:before="317" w:after="240" w:line="264" w:lineRule="exact"/>
        <w:ind w:left="644" w:right="20"/>
        <w:jc w:val="both"/>
      </w:pPr>
      <w:r>
        <w:t>• Čuvaj</w:t>
      </w:r>
      <w:r>
        <w:rPr>
          <w:lang w:val="en-US"/>
        </w:rPr>
        <w:t>u</w:t>
      </w:r>
      <w:r>
        <w:t xml:space="preserve"> izbrisane objave najmanje deset nedelja za bilo kakvo krivično gonjenje. </w:t>
      </w:r>
      <w:proofErr w:type="gramStart"/>
      <w:r>
        <w:t>Uplat</w:t>
      </w:r>
      <w:r>
        <w:rPr>
          <w:lang w:val="en-US"/>
        </w:rPr>
        <w:t>e</w:t>
      </w:r>
      <w:r>
        <w:t xml:space="preserve"> finansijski doprinos u budžet regulatornog organa.</w:t>
      </w:r>
      <w:proofErr w:type="gramEnd"/>
      <w:r>
        <w:t xml:space="preserve"> </w:t>
      </w:r>
    </w:p>
    <w:p w:rsidR="00090571" w:rsidRDefault="00851FB1">
      <w:pPr>
        <w:pStyle w:val="BodyText9"/>
        <w:numPr>
          <w:ilvl w:val="0"/>
          <w:numId w:val="4"/>
        </w:numPr>
        <w:spacing w:before="317" w:after="240" w:line="264" w:lineRule="exact"/>
        <w:ind w:right="20"/>
        <w:jc w:val="both"/>
      </w:pPr>
      <w:r>
        <w:t>Za nepoštovanje ovih obaveza, platformi mogu biti izrečene ka</w:t>
      </w:r>
      <w:r>
        <w:t xml:space="preserve">zne do 10 miliona evra (u zavisnosti </w:t>
      </w:r>
      <w:proofErr w:type="gramStart"/>
      <w:r>
        <w:t>od</w:t>
      </w:r>
      <w:proofErr w:type="gramEnd"/>
      <w:r>
        <w:t xml:space="preserve"> nekoliko faktora, kao što su prihod, broj korisnika, prethodno nedolično ponašanje, ozbiljnost i dužina kršenja). Takođe, moguće je izreći kaznu do milion eura za članove upravnog odbora ako </w:t>
      </w:r>
      <w:proofErr w:type="gramStart"/>
      <w:r>
        <w:t>na</w:t>
      </w:r>
      <w:proofErr w:type="gramEnd"/>
      <w:r>
        <w:t xml:space="preserve"> zaht</w:t>
      </w:r>
      <w:r>
        <w:rPr>
          <w:lang w:val="en-US"/>
        </w:rPr>
        <w:t>j</w:t>
      </w:r>
      <w:r>
        <w:t xml:space="preserve">ev organa ne </w:t>
      </w:r>
      <w:r>
        <w:t>odrede ovlašćenog predstavnika ili zastupnika za prihvatanje službenih dokumenata koje organ dostavlja.</w:t>
      </w:r>
      <w:r w:rsidRPr="00090571">
        <w:rPr>
          <w:rStyle w:val="FootnoteReference"/>
        </w:rPr>
        <w:footnoteReference w:id="65"/>
      </w:r>
    </w:p>
    <w:p w:rsidR="00090571" w:rsidRDefault="00851FB1">
      <w:pPr>
        <w:pStyle w:val="BodyText9"/>
        <w:spacing w:before="317" w:after="240" w:line="264" w:lineRule="exact"/>
        <w:ind w:left="720" w:right="20"/>
        <w:jc w:val="both"/>
      </w:pPr>
      <w:r>
        <w:t>8.1</w:t>
      </w:r>
      <w:r>
        <w:rPr>
          <w:b/>
          <w:bCs/>
        </w:rPr>
        <w:t>. IZAZOVI I KRITIČKI STAVOVI</w:t>
      </w:r>
    </w:p>
    <w:p w:rsidR="00090571" w:rsidRDefault="00851FB1">
      <w:pPr>
        <w:pStyle w:val="BodyText9"/>
        <w:spacing w:after="240" w:line="264" w:lineRule="exact"/>
        <w:ind w:left="20" w:right="1800"/>
        <w:jc w:val="both"/>
      </w:pPr>
      <w:r>
        <w:lastRenderedPageBreak/>
        <w:t xml:space="preserve">Kako su istakli Štaber i Štuc, usaglašenost novih pravila Austrije </w:t>
      </w:r>
      <w:proofErr w:type="gramStart"/>
      <w:r>
        <w:t>sa</w:t>
      </w:r>
      <w:proofErr w:type="gramEnd"/>
      <w:r>
        <w:t xml:space="preserve"> pravom EU je upitna. </w:t>
      </w:r>
      <w:r w:rsidRPr="00090571">
        <w:rPr>
          <w:rStyle w:val="FootnoteReference"/>
        </w:rPr>
        <w:footnoteReference w:id="66"/>
      </w:r>
      <w:r>
        <w:t xml:space="preserve"> </w:t>
      </w:r>
    </w:p>
    <w:p w:rsidR="00090571" w:rsidRDefault="00851FB1">
      <w:pPr>
        <w:pStyle w:val="BodyText9"/>
        <w:spacing w:after="240" w:line="264" w:lineRule="exact"/>
        <w:ind w:left="20" w:right="1800"/>
        <w:jc w:val="both"/>
      </w:pPr>
      <w:r>
        <w:t xml:space="preserve">Kako </w:t>
      </w:r>
      <w:r>
        <w:t xml:space="preserve">ističu, Evropska komisija je u pismu austrijskoj vladi istakla da </w:t>
      </w:r>
      <w:proofErr w:type="gramStart"/>
      <w:r>
        <w:t>će</w:t>
      </w:r>
      <w:proofErr w:type="gramEnd"/>
      <w:r>
        <w:t xml:space="preserve"> Zakon o komunikacionim platformama vjerovatno ometati slobodu pružanja usluga. Komisija EU posebno je zabrinuta zbog dodatnih troškova i administrativnih opterećenja povezanih </w:t>
      </w:r>
      <w:proofErr w:type="gramStart"/>
      <w:r>
        <w:t>sa</w:t>
      </w:r>
      <w:proofErr w:type="gramEnd"/>
      <w:r>
        <w:t xml:space="preserve"> implemen</w:t>
      </w:r>
      <w:r>
        <w:t xml:space="preserve">tacijom mehanizma za obavještavanje i uklanjanje i potrebe za posjedovanjem neophodnih jezičkih vještina i lokalnog kulturnog i pravnog znanja kako bi se mogao procijeniti sadržaj i ostvariti interakcija sa vlasti. Nametanjem strožih zahtjeva za operatere </w:t>
      </w:r>
      <w:proofErr w:type="gramStart"/>
      <w:r>
        <w:t>od</w:t>
      </w:r>
      <w:proofErr w:type="gramEnd"/>
      <w:r>
        <w:t xml:space="preserve"> onih u zemlji u kojoj se nalaze, Zakon o komunikacionim platformama nije u skladu sa Direktivom o e-trgovini i ne ispunjava njene zahtjeve za izuzetke od principa zemlje porijekla.</w:t>
      </w:r>
      <w:r w:rsidRPr="00090571">
        <w:rPr>
          <w:rStyle w:val="FootnoteReference"/>
        </w:rPr>
        <w:footnoteReference w:id="67"/>
      </w:r>
    </w:p>
    <w:p w:rsidR="00090571" w:rsidRDefault="00851FB1">
      <w:pPr>
        <w:pStyle w:val="BodyText9"/>
        <w:shd w:val="clear" w:color="auto" w:fill="auto"/>
        <w:spacing w:after="240" w:line="264" w:lineRule="exact"/>
        <w:ind w:left="20" w:right="1800"/>
        <w:jc w:val="both"/>
      </w:pPr>
      <w:r>
        <w:t>Pored toga, Komisija EU postavlja pitanje zašto Austrija sada d</w:t>
      </w:r>
      <w:r>
        <w:t xml:space="preserve">onosi sopstveni set pravila dok je u izradi Zakon o digitalnim uslugama, koji ima za cilj da </w:t>
      </w:r>
      <w:proofErr w:type="gramStart"/>
      <w:r>
        <w:t>na</w:t>
      </w:r>
      <w:proofErr w:type="gramEnd"/>
      <w:r>
        <w:t xml:space="preserve"> nivou EU uskladi mnoge stavke koje reguliše Austrijski zakon o komunikacionim platformama. Pošto </w:t>
      </w:r>
      <w:proofErr w:type="gramStart"/>
      <w:r>
        <w:t>će</w:t>
      </w:r>
      <w:proofErr w:type="gramEnd"/>
      <w:r>
        <w:t xml:space="preserve"> Zakon o digitalnim uslugama imati formu uredbe i samim tim b</w:t>
      </w:r>
      <w:r>
        <w:t xml:space="preserve">iti direktno primjenljiv u svakoj državi članici, Evropska komisija ističe da će Austrija morati da ukine deo svojih novih zakona kada on stupi na snagu. </w:t>
      </w:r>
      <w:proofErr w:type="gramStart"/>
      <w:r>
        <w:t xml:space="preserve">Konkretno, čini se da neke odredbe austrijskog zakona podstiču brzo uklanjanje sadržaja koji naizgled </w:t>
      </w:r>
      <w:r>
        <w:t>krši autorska prava – nešto što Zakon o digitalnim uslugama ima za cilj da izbjegne kako bi zaštitio slobodu govora.</w:t>
      </w:r>
      <w:proofErr w:type="gramEnd"/>
      <w:r w:rsidRPr="00090571">
        <w:rPr>
          <w:rStyle w:val="FootnoteReference"/>
        </w:rPr>
        <w:footnoteReference w:id="68"/>
      </w:r>
    </w:p>
    <w:p w:rsidR="00090571" w:rsidRDefault="00851FB1">
      <w:pPr>
        <w:pStyle w:val="BodyText9"/>
        <w:shd w:val="clear" w:color="auto" w:fill="auto"/>
        <w:spacing w:after="324" w:line="264" w:lineRule="exact"/>
        <w:ind w:right="20"/>
        <w:jc w:val="both"/>
      </w:pPr>
      <w:r>
        <w:t xml:space="preserve">Uprkos zabrinutosti Komisije, austrijska vlada nije odložila svoje nove </w:t>
      </w:r>
      <w:proofErr w:type="gramStart"/>
      <w:r>
        <w:t>propise,</w:t>
      </w:r>
      <w:proofErr w:type="gramEnd"/>
      <w:r>
        <w:t xml:space="preserve"> koje je pokrenulo nekoliko izuzetno javno proprać</w:t>
      </w:r>
      <w:r>
        <w:t>enih incidenata govora mržnje protiv poznatih austrijskih političara.</w:t>
      </w:r>
      <w:r w:rsidRPr="00090571">
        <w:rPr>
          <w:rStyle w:val="FootnoteReference"/>
        </w:rPr>
        <w:footnoteReference w:id="69"/>
      </w:r>
      <w:r>
        <w:t xml:space="preserve"> U analizi austrijskog zakona u fazi prijedloga, European Digital Rights (EDRi), udruženje organizacija za građanska i ljudska prava iz cijele Evrope, priznalo je "veliki napreda</w:t>
      </w:r>
      <w:r>
        <w:t xml:space="preserve">k u poređenju sa njemačkom NetzDG" u vezi </w:t>
      </w:r>
      <w:proofErr w:type="gramStart"/>
      <w:r>
        <w:t>sa</w:t>
      </w:r>
      <w:proofErr w:type="gramEnd"/>
      <w:r>
        <w:t xml:space="preserve"> mehanizmima žalbe i obeštećenja za nadgledanje odluka platforme i povećanje kvaliteta procesa moderiranja njihovog sadržaja.</w:t>
      </w:r>
      <w:r w:rsidRPr="00090571">
        <w:rPr>
          <w:rStyle w:val="FootnoteReference"/>
        </w:rPr>
        <w:footnoteReference w:id="70"/>
      </w:r>
      <w:r>
        <w:t xml:space="preserve"> Međutim, EDRi je izrazio zabrinutost u vezi </w:t>
      </w:r>
      <w:proofErr w:type="gramStart"/>
      <w:r>
        <w:t>sa</w:t>
      </w:r>
      <w:proofErr w:type="gramEnd"/>
      <w:r>
        <w:t xml:space="preserve"> p</w:t>
      </w:r>
      <w:r>
        <w:t>ropisima o kazni. Konkretno, moć regulatornog tijela KommAustria "da oblikuje onlajn diskurs" smatra se "ogromnim", uzimajući u obzir ovlašćenja za donošenje administrativnih i kaznenih odluka u vezi sa procedurama moderiranja sadržaja i odlukama platformi</w:t>
      </w:r>
      <w:r>
        <w:t xml:space="preserve">. Istovremeno, ECRi smatra transparentnost obaveza </w:t>
      </w:r>
      <w:proofErr w:type="gramStart"/>
      <w:r>
        <w:t>na</w:t>
      </w:r>
      <w:proofErr w:type="gramEnd"/>
      <w:r>
        <w:t xml:space="preserve"> online platformama u austrijskom zakonu veoma pozitivnim.</w:t>
      </w:r>
      <w:r w:rsidRPr="00090571">
        <w:rPr>
          <w:rStyle w:val="FootnoteReference"/>
        </w:rPr>
        <w:footnoteReference w:id="71"/>
      </w:r>
    </w:p>
    <w:p w:rsidR="00090571" w:rsidRDefault="00851FB1">
      <w:pPr>
        <w:pStyle w:val="BodyText9"/>
        <w:shd w:val="clear" w:color="auto" w:fill="auto"/>
        <w:spacing w:after="324" w:line="264" w:lineRule="exact"/>
        <w:ind w:right="20"/>
        <w:jc w:val="both"/>
        <w:rPr>
          <w:b/>
          <w:bCs/>
        </w:rPr>
      </w:pPr>
      <w:proofErr w:type="gramStart"/>
      <w:r>
        <w:rPr>
          <w:b/>
          <w:bCs/>
        </w:rPr>
        <w:t>9.SLUČAJ</w:t>
      </w:r>
      <w:proofErr w:type="gramEnd"/>
      <w:r>
        <w:rPr>
          <w:b/>
          <w:bCs/>
        </w:rPr>
        <w:t xml:space="preserve"> SLOVENIJE</w:t>
      </w:r>
    </w:p>
    <w:p w:rsidR="00090571" w:rsidRDefault="00851FB1">
      <w:pPr>
        <w:pStyle w:val="BodyText9"/>
        <w:shd w:val="clear" w:color="auto" w:fill="auto"/>
        <w:spacing w:after="180" w:line="264" w:lineRule="exact"/>
        <w:ind w:left="20" w:right="20"/>
        <w:jc w:val="both"/>
      </w:pPr>
      <w:r>
        <w:t>Dežurna telefonska linija Spletno oko (Veb Eie) omogućava korisnicima interneta u Sloveniji da anonimno prijave govo</w:t>
      </w:r>
      <w:r>
        <w:t xml:space="preserve">r mržnje i slike seksualnog zlostavljanja djece ako </w:t>
      </w:r>
      <w:proofErr w:type="gramStart"/>
      <w:r>
        <w:t>naiđu</w:t>
      </w:r>
      <w:proofErr w:type="gramEnd"/>
      <w:r>
        <w:t xml:space="preserve"> na njih na mreži. </w:t>
      </w:r>
      <w:proofErr w:type="gramStart"/>
      <w:r>
        <w:t>Dežurna telefonska linija je uspostavljena u septembru 2006.</w:t>
      </w:r>
      <w:proofErr w:type="gramEnd"/>
      <w:r>
        <w:t xml:space="preserve"> </w:t>
      </w:r>
      <w:proofErr w:type="gramStart"/>
      <w:r>
        <w:t>godine</w:t>
      </w:r>
      <w:proofErr w:type="gramEnd"/>
      <w:r>
        <w:t xml:space="preserve">. Dio je Centra za </w:t>
      </w:r>
      <w:r>
        <w:lastRenderedPageBreak/>
        <w:t>bezbjedniji internet, kojim koordinira Univerzitet u Ljubljani, Fakultet društvenih nauka, u s</w:t>
      </w:r>
      <w:r>
        <w:t xml:space="preserve">aradnji </w:t>
      </w:r>
      <w:proofErr w:type="gramStart"/>
      <w:r>
        <w:t>sa</w:t>
      </w:r>
      <w:proofErr w:type="gramEnd"/>
      <w:r>
        <w:t xml:space="preserve"> partnerima: Arnes, Slovenačko društvo prijatelja mladih i Centar MISSS (Mladi Informativno-savetodavni centar Slovenije). </w:t>
      </w:r>
      <w:proofErr w:type="gramStart"/>
      <w:r>
        <w:t>Među članovima Savjetodavnog odbora Centra za bezbjedniji internet su predstavnici Državnog tužioca i Generalne uprave poli</w:t>
      </w:r>
      <w:r>
        <w:t>cije, predstavnici medija i predstavnici organizacija koje rade u oblasti dječije zaštite.</w:t>
      </w:r>
      <w:proofErr w:type="gramEnd"/>
    </w:p>
    <w:p w:rsidR="00090571" w:rsidRDefault="00851FB1">
      <w:pPr>
        <w:pStyle w:val="BodyText9"/>
        <w:shd w:val="clear" w:color="auto" w:fill="auto"/>
        <w:spacing w:after="180" w:line="264" w:lineRule="exact"/>
        <w:ind w:left="20" w:right="20"/>
        <w:jc w:val="both"/>
      </w:pPr>
      <w:r>
        <w:t xml:space="preserve">Osnovni zadatak telefonske linije Spletno oko je smanjenje količine slika seksualnog zlostavljanja djece i govora mržnje </w:t>
      </w:r>
      <w:proofErr w:type="gramStart"/>
      <w:r>
        <w:t>na</w:t>
      </w:r>
      <w:proofErr w:type="gramEnd"/>
      <w:r>
        <w:t xml:space="preserve"> mreži, u saradnji sa policijom, internet </w:t>
      </w:r>
      <w:r>
        <w:t xml:space="preserve">provajderima i drugim vladinim i nevladinim organizacijama. </w:t>
      </w:r>
    </w:p>
    <w:p w:rsidR="00090571" w:rsidRDefault="00851FB1">
      <w:pPr>
        <w:pStyle w:val="BodyText9"/>
        <w:shd w:val="clear" w:color="auto" w:fill="auto"/>
        <w:spacing w:after="180" w:line="264" w:lineRule="exact"/>
        <w:ind w:left="20" w:right="20"/>
        <w:jc w:val="both"/>
      </w:pPr>
      <w:r>
        <w:t xml:space="preserve">Glavne aktivnosti telefonske linije Spletno oko obuhvataju mehanizam prijave koji omogućava anonimne prijave nelegalnih sadržaja </w:t>
      </w:r>
      <w:proofErr w:type="gramStart"/>
      <w:r>
        <w:t>na</w:t>
      </w:r>
      <w:proofErr w:type="gramEnd"/>
      <w:r>
        <w:t xml:space="preserve"> internetu, kao i brzu i efikasnu analizu i obradu primljenih pr</w:t>
      </w:r>
      <w:r>
        <w:t>ijava.</w:t>
      </w:r>
    </w:p>
    <w:p w:rsidR="00090571" w:rsidRDefault="00851FB1">
      <w:pPr>
        <w:pStyle w:val="BodyText9"/>
        <w:shd w:val="clear" w:color="auto" w:fill="auto"/>
        <w:spacing w:after="180" w:line="264" w:lineRule="exact"/>
        <w:ind w:left="20" w:right="20"/>
        <w:jc w:val="both"/>
      </w:pPr>
      <w:r>
        <w:t>M</w:t>
      </w:r>
      <w:r>
        <w:rPr>
          <w:lang w:val="en-US"/>
        </w:rPr>
        <w:t>j</w:t>
      </w:r>
      <w:r>
        <w:t xml:space="preserve">esto za prijavu nalazi se </w:t>
      </w:r>
      <w:proofErr w:type="gramStart"/>
      <w:r>
        <w:t>na</w:t>
      </w:r>
      <w:proofErr w:type="gramEnd"/>
      <w:r>
        <w:t xml:space="preserve"> sajtu Spletno oko i dostupno je svim korisnicima interneta. Obrazac vodi korisnika kroz ponuđene kategorije potencijalno nezakonitog sadržaja do podnošenja uredno popunjenog izvještaja.</w:t>
      </w:r>
    </w:p>
    <w:p w:rsidR="00090571" w:rsidRDefault="00851FB1">
      <w:pPr>
        <w:pStyle w:val="BodyText9"/>
        <w:spacing w:after="240" w:line="264" w:lineRule="exact"/>
        <w:ind w:left="20" w:right="20"/>
        <w:jc w:val="both"/>
      </w:pPr>
      <w:proofErr w:type="gramStart"/>
      <w:r>
        <w:t>Istovremeno, sajt korisnicima da</w:t>
      </w:r>
      <w:r>
        <w:t>je objašnjenje da li je sadržaj potencijalno nezakonit i savjete o opcijama za dalje radnje.</w:t>
      </w:r>
      <w:proofErr w:type="gramEnd"/>
      <w:r>
        <w:t xml:space="preserve"> Posebno obučeni recenzent Spletnog oko pregleda dostavljene prijave i one koje su identifikovane kao potencijalno nezakonite prosleđuje </w:t>
      </w:r>
      <w:proofErr w:type="gramStart"/>
      <w:r>
        <w:t>na</w:t>
      </w:r>
      <w:proofErr w:type="gramEnd"/>
      <w:r>
        <w:t xml:space="preserve"> razmatranje policiji, u </w:t>
      </w:r>
      <w:r>
        <w:t xml:space="preserve">skladu sa unaprijed dogovorenim procedurama. </w:t>
      </w:r>
    </w:p>
    <w:p w:rsidR="00090571" w:rsidRDefault="00851FB1">
      <w:pPr>
        <w:pStyle w:val="BodyText9"/>
        <w:spacing w:after="240" w:line="264" w:lineRule="exact"/>
        <w:ind w:left="20" w:right="20"/>
        <w:jc w:val="both"/>
      </w:pPr>
      <w:proofErr w:type="gramStart"/>
      <w:r>
        <w:t>U 2020.</w:t>
      </w:r>
      <w:proofErr w:type="gramEnd"/>
      <w:r>
        <w:t xml:space="preserve"> </w:t>
      </w:r>
      <w:proofErr w:type="gramStart"/>
      <w:r>
        <w:t>godini</w:t>
      </w:r>
      <w:proofErr w:type="gramEnd"/>
      <w:r>
        <w:t xml:space="preserve">, Spletno oko je obradilo 2.268 prijava govora mržnje na mreži (u poređenju sa 773 u 2019.). </w:t>
      </w:r>
      <w:proofErr w:type="gramStart"/>
      <w:r>
        <w:t>Policiji su 2020.</w:t>
      </w:r>
      <w:proofErr w:type="gramEnd"/>
      <w:r>
        <w:t xml:space="preserve"> </w:t>
      </w:r>
      <w:proofErr w:type="gramStart"/>
      <w:r>
        <w:t>godine</w:t>
      </w:r>
      <w:proofErr w:type="gramEnd"/>
      <w:r>
        <w:t xml:space="preserve"> proslijedili 67 prijava (u poređenju sa 90 u 2019. godini). Među 67 izvještaja</w:t>
      </w:r>
      <w:r>
        <w:t xml:space="preserve"> o govoru mržnje </w:t>
      </w:r>
      <w:proofErr w:type="gramStart"/>
      <w:r>
        <w:t>na</w:t>
      </w:r>
      <w:proofErr w:type="gramEnd"/>
      <w:r>
        <w:t xml:space="preserve"> mreži koje je recenzent Spletno oko ocijenio kao „potencijalno nezakonite“; i prosl</w:t>
      </w:r>
      <w:r>
        <w:rPr>
          <w:lang w:val="en-US"/>
        </w:rPr>
        <w:t>ij</w:t>
      </w:r>
      <w:r>
        <w:t xml:space="preserve">eđeno policiji, 2020. </w:t>
      </w:r>
      <w:proofErr w:type="gramStart"/>
      <w:r>
        <w:t>godine</w:t>
      </w:r>
      <w:proofErr w:type="gramEnd"/>
      <w:r>
        <w:t>, 60 odsto je sadržalo podsticanje na ubistvo ili ubistvo, a 33 odsto je sadržalo negiranje ili veličanje holokausta ili ra</w:t>
      </w:r>
      <w:r>
        <w:t>tnih zločina.</w:t>
      </w:r>
    </w:p>
    <w:p w:rsidR="00090571" w:rsidRDefault="00851FB1">
      <w:pPr>
        <w:pStyle w:val="BodyText9"/>
        <w:shd w:val="clear" w:color="auto" w:fill="auto"/>
        <w:spacing w:after="240" w:line="264" w:lineRule="exact"/>
        <w:ind w:left="20" w:right="20"/>
        <w:jc w:val="both"/>
      </w:pPr>
      <w:r>
        <w:t xml:space="preserve">Među značajnim dostignućima Spletnog oko je i Kodeks o regulaciji govora mržnje </w:t>
      </w:r>
      <w:proofErr w:type="gramStart"/>
      <w:r>
        <w:t>na</w:t>
      </w:r>
      <w:proofErr w:type="gramEnd"/>
      <w:r>
        <w:t xml:space="preserve"> veb portalima u Sloveniji.</w:t>
      </w:r>
      <w:r w:rsidRPr="00090571">
        <w:rPr>
          <w:rStyle w:val="FootnoteReference"/>
        </w:rPr>
        <w:footnoteReference w:id="72"/>
      </w:r>
      <w:r>
        <w:t xml:space="preserve"> 2010. </w:t>
      </w:r>
      <w:proofErr w:type="gramStart"/>
      <w:r>
        <w:t>godine</w:t>
      </w:r>
      <w:proofErr w:type="gramEnd"/>
      <w:r>
        <w:t xml:space="preserve"> zajednički su ga razvili i dogovorili Spletno oko i glavni veb portali u Sloveniji. </w:t>
      </w:r>
      <w:proofErr w:type="gramStart"/>
      <w:r>
        <w:t>Šest onlajn medija se pridružilo inicijativi 2010.</w:t>
      </w:r>
      <w:proofErr w:type="gramEnd"/>
      <w:r>
        <w:t xml:space="preserve"> </w:t>
      </w:r>
      <w:proofErr w:type="gramStart"/>
      <w:r>
        <w:t>godine</w:t>
      </w:r>
      <w:proofErr w:type="gramEnd"/>
      <w:r>
        <w:t>, a kasnije su još tri onlajn me</w:t>
      </w:r>
      <w:r>
        <w:t xml:space="preserve">dija takođe potpisala Kodeks. </w:t>
      </w:r>
      <w:proofErr w:type="gramStart"/>
      <w:r>
        <w:t>Ulaskom u Kodeks, onlajn mediji su usvojili jednoobrazne smjernice za regulisanje govora mržnje u odjeljcima za komentare, koje predviđaju dosljedno moderiranje komentara mržnje, netolerantnosti i uvredljivosti, obaveznu regis</w:t>
      </w:r>
      <w:r>
        <w:t>traciju korisnika i ujednačavanje obrasca za dostavljanje komentara u odjeljcima za komentare onlajn medija.</w:t>
      </w:r>
      <w:proofErr w:type="gramEnd"/>
      <w:r>
        <w:t xml:space="preserve"> U okviru implementacije Kodeksa, komentari </w:t>
      </w:r>
      <w:proofErr w:type="gramStart"/>
      <w:r>
        <w:t>na</w:t>
      </w:r>
      <w:proofErr w:type="gramEnd"/>
      <w:r>
        <w:t xml:space="preserve"> veb portalima treba da sadrže upozorenje na zakonske odredbe o govoru mržnje u Krivičnom zakoniku, i </w:t>
      </w:r>
      <w:r>
        <w:t xml:space="preserve">o sopstvenim standardima zajednice, i posebno dugme za prijavu govora mržnje kod korisničkih komentara. </w:t>
      </w:r>
      <w:proofErr w:type="gramStart"/>
      <w:r>
        <w:t>Tako dostavljeni izvještaj obavještava i Spletno oko i administratore onlajn medija.</w:t>
      </w:r>
      <w:proofErr w:type="gramEnd"/>
      <w:r>
        <w:t xml:space="preserve"> Ovi poslednji treba što prije da uklone komentare koji krše pravila</w:t>
      </w:r>
      <w:r>
        <w:t xml:space="preserve"> veb portala, a Spletno oko ih posebno pregleda i proslijedi </w:t>
      </w:r>
      <w:proofErr w:type="gramStart"/>
      <w:r>
        <w:t>na</w:t>
      </w:r>
      <w:proofErr w:type="gramEnd"/>
      <w:r>
        <w:t xml:space="preserve"> razmatranje policiji u slučaju potencijalno nezakonitog sadržaja.</w:t>
      </w:r>
    </w:p>
    <w:p w:rsidR="00090571" w:rsidRDefault="00851FB1">
      <w:pPr>
        <w:pStyle w:val="BodyText9"/>
        <w:shd w:val="clear" w:color="auto" w:fill="auto"/>
        <w:spacing w:after="240" w:line="264" w:lineRule="exact"/>
        <w:ind w:left="20" w:right="20"/>
        <w:jc w:val="both"/>
      </w:pPr>
      <w:r>
        <w:t xml:space="preserve">  </w:t>
      </w:r>
      <w:proofErr w:type="gramStart"/>
      <w:r>
        <w:t>Od 2016.</w:t>
      </w:r>
      <w:proofErr w:type="gramEnd"/>
      <w:r>
        <w:t xml:space="preserve"> </w:t>
      </w:r>
      <w:proofErr w:type="gramStart"/>
      <w:r>
        <w:t>godine</w:t>
      </w:r>
      <w:proofErr w:type="gramEnd"/>
      <w:r>
        <w:t>, telefonska linija Spletno oko sprovodi i praćenje samoregulatornih mehanizama globalnih kompanija društveni</w:t>
      </w:r>
      <w:r>
        <w:t xml:space="preserve">h medija i njihovu usklađenost sa Kodeksom </w:t>
      </w:r>
      <w:r>
        <w:lastRenderedPageBreak/>
        <w:t xml:space="preserve">ponašanja EU o suzbijanju nelegalnog govora mržnje na mreži. U okviru monitoringa, telefonska linija Spletno oko zabilježila je u kojoj mjeri društvene mreže uklanjaju prijavljene slučajeve </w:t>
      </w:r>
      <w:proofErr w:type="gramStart"/>
      <w:r>
        <w:t>na</w:t>
      </w:r>
      <w:proofErr w:type="gramEnd"/>
      <w:r>
        <w:t xml:space="preserve"> slovenačkom jeziku, </w:t>
      </w:r>
      <w:r>
        <w:t>u koje vrijeme i kako o tome obavještavaju podnosioce žalbe.</w:t>
      </w:r>
    </w:p>
    <w:p w:rsidR="00090571" w:rsidRDefault="00851FB1">
      <w:pPr>
        <w:pStyle w:val="BodyText9"/>
        <w:shd w:val="clear" w:color="auto" w:fill="auto"/>
        <w:spacing w:after="240" w:line="264" w:lineRule="exact"/>
        <w:ind w:left="20" w:right="20"/>
        <w:jc w:val="both"/>
        <w:rPr>
          <w:b/>
          <w:bCs/>
        </w:rPr>
      </w:pPr>
      <w:r>
        <w:rPr>
          <w:b/>
          <w:bCs/>
        </w:rPr>
        <w:t>9.1. IZAZOVI I KRITIČKI STAVOVI</w:t>
      </w:r>
    </w:p>
    <w:p w:rsidR="00090571" w:rsidRDefault="00851FB1">
      <w:pPr>
        <w:pStyle w:val="BodyText9"/>
        <w:shd w:val="clear" w:color="auto" w:fill="auto"/>
        <w:spacing w:after="240" w:line="264" w:lineRule="exact"/>
        <w:ind w:left="20" w:right="20"/>
        <w:jc w:val="both"/>
      </w:pPr>
      <w:r>
        <w:t xml:space="preserve">Neki potpisnici Kodeksa o regulaciji govora mržnje među onlajn medijima u Sloveniji više nemaju instalirano dugme za prijavu </w:t>
      </w:r>
      <w:proofErr w:type="gramStart"/>
      <w:r>
        <w:t>na</w:t>
      </w:r>
      <w:proofErr w:type="gramEnd"/>
      <w:r>
        <w:t xml:space="preserve"> portalima, posebno oni koji su inst</w:t>
      </w:r>
      <w:r>
        <w:t xml:space="preserve">alirali dodatke za društvene mreže za komentarisanje korisnika. Nedostaje motivacija pojedinih onlajn medijskih portala za aktivniju saradnju i odgovarajuću regulaciju komentara korisnika </w:t>
      </w:r>
      <w:proofErr w:type="gramStart"/>
      <w:r>
        <w:t>na</w:t>
      </w:r>
      <w:proofErr w:type="gramEnd"/>
      <w:r>
        <w:t xml:space="preserve"> njihovim sajtovima.</w:t>
      </w:r>
    </w:p>
    <w:p w:rsidR="00090571" w:rsidRDefault="00851FB1">
      <w:pPr>
        <w:pStyle w:val="BodyText9"/>
        <w:shd w:val="clear" w:color="auto" w:fill="auto"/>
        <w:spacing w:after="240" w:line="264" w:lineRule="exact"/>
        <w:ind w:left="20" w:right="20"/>
        <w:jc w:val="both"/>
      </w:pPr>
      <w:r>
        <w:t>Ogroman disparitet između velikog broja prija</w:t>
      </w:r>
      <w:r>
        <w:t xml:space="preserve">va o govoru mržnje </w:t>
      </w:r>
      <w:proofErr w:type="gramStart"/>
      <w:r>
        <w:t>na</w:t>
      </w:r>
      <w:proofErr w:type="gramEnd"/>
      <w:r>
        <w:t xml:space="preserve"> mreži dostavljenih na telefonsku liniju Spletno oko 2020. </w:t>
      </w:r>
      <w:proofErr w:type="gramStart"/>
      <w:r>
        <w:t>godine</w:t>
      </w:r>
      <w:proofErr w:type="gramEnd"/>
      <w:r>
        <w:t xml:space="preserve"> (kao i mnogih prethodnih godina) i mnogo manjeg broja prijava koje je Spletno oko prosleđivalo policiji kao potencijalno nezakonite po Krivičnom Kodeksu, a još manji bro</w:t>
      </w:r>
      <w:r>
        <w:t xml:space="preserve">j slučajeva koje je policija stvarno podnijela tužiocima ili osuđenih u sudskim postupcima, ilustruju izazove regulisanja i samoregulacije govora mržnje na internetu. </w:t>
      </w:r>
      <w:proofErr w:type="gramStart"/>
      <w:r>
        <w:t>Iako velika količina sadržaja govora mržnje koji korisnici interneta percipiraju kao taka</w:t>
      </w:r>
      <w:r>
        <w:t>v nije kvalifikovan za krivično gonjenje.</w:t>
      </w:r>
      <w:proofErr w:type="gramEnd"/>
      <w:r>
        <w:t xml:space="preserve"> Sve to jasno ukazuje na potrebu da se ovom temom pozabavimo </w:t>
      </w:r>
      <w:proofErr w:type="gramStart"/>
      <w:r>
        <w:t>koristeći  druge</w:t>
      </w:r>
      <w:proofErr w:type="gramEnd"/>
      <w:r>
        <w:t xml:space="preserve"> pravne i vanpravne instrumente.</w:t>
      </w:r>
    </w:p>
    <w:p w:rsidR="00090571" w:rsidRDefault="00090571">
      <w:pPr>
        <w:pStyle w:val="BodyText9"/>
        <w:pageBreakBefore/>
        <w:shd w:val="clear" w:color="auto" w:fill="auto"/>
        <w:spacing w:after="240" w:line="264" w:lineRule="exact"/>
        <w:ind w:left="20" w:right="20"/>
        <w:jc w:val="both"/>
      </w:pPr>
    </w:p>
    <w:p w:rsidR="00090571" w:rsidRDefault="00090571">
      <w:pPr>
        <w:pStyle w:val="BodyText9"/>
        <w:pageBreakBefore/>
        <w:shd w:val="clear" w:color="auto" w:fill="auto"/>
        <w:spacing w:line="264" w:lineRule="exact"/>
        <w:ind w:left="20" w:right="20"/>
        <w:jc w:val="both"/>
      </w:pPr>
    </w:p>
    <w:p w:rsidR="00090571" w:rsidRDefault="00090571">
      <w:pPr>
        <w:pStyle w:val="Bodytext50"/>
        <w:shd w:val="clear" w:color="auto" w:fill="auto"/>
        <w:spacing w:after="463" w:line="330" w:lineRule="exact"/>
        <w:jc w:val="both"/>
        <w:rPr>
          <w:sz w:val="20"/>
          <w:szCs w:val="20"/>
        </w:rPr>
      </w:pPr>
    </w:p>
    <w:sectPr w:rsidR="00090571" w:rsidSect="00090571">
      <w:headerReference w:type="default" r:id="rId7"/>
      <w:footerReference w:type="default" r:id="rId8"/>
      <w:pgSz w:w="11906" w:h="16838"/>
      <w:pgMar w:top="1440" w:right="1800" w:bottom="1440" w:left="1800" w:header="0" w:footer="3" w:gutter="0"/>
      <w:pgNumType w:start="2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B1" w:rsidRDefault="00851FB1" w:rsidP="00090571">
      <w:pPr>
        <w:spacing w:after="0" w:line="240" w:lineRule="auto"/>
      </w:pPr>
      <w:r>
        <w:separator/>
      </w:r>
    </w:p>
  </w:endnote>
  <w:endnote w:type="continuationSeparator" w:id="0">
    <w:p w:rsidR="00851FB1" w:rsidRDefault="00851FB1" w:rsidP="00090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71" w:rsidRDefault="00090571">
    <w:r w:rsidRPr="00962848">
      <w:pict>
        <v:shapetype id="_x0000_t202" coordsize="21600,21600" o:spt="202" path="m,l,21600r21600,l21600,xe">
          <v:stroke joinstyle="miter"/>
          <v:path gradientshapeok="t" o:connecttype="rect"/>
        </v:shapetype>
        <v:shape id="Text Box 2" o:spid="_x0000_s1026" type="#_x0000_t202" style="position:absolute;margin-left:58pt;margin-top:-299.3pt;width:692.7pt;height:10.05pt;z-index:251662336;visibility:visible;mso-position-horizontal-relative:page" filled="f" stroked="f">
          <v:textbox style="mso-rotate-with-shape:t;mso-fit-shape-to-text:t" inset="0,0,0,0">
            <w:txbxContent>
              <w:p w:rsidR="00090571" w:rsidRDefault="00090571">
                <w:pPr>
                  <w:pStyle w:val="Headerorfooter0"/>
                  <w:shd w:val="clear" w:color="auto" w:fill="auto"/>
                  <w:ind w:left="11514"/>
                </w:pPr>
                <w:r>
                  <w:rPr>
                    <w:rStyle w:val="HeaderorfooterArial"/>
                  </w:rPr>
                  <w:fldChar w:fldCharType="begin"/>
                </w:r>
                <w:r>
                  <w:rPr>
                    <w:rStyle w:val="HeaderorfooterArial"/>
                  </w:rPr>
                  <w:instrText xml:space="preserve"> PAGE </w:instrText>
                </w:r>
                <w:r>
                  <w:rPr>
                    <w:rStyle w:val="HeaderorfooterArial"/>
                  </w:rPr>
                  <w:fldChar w:fldCharType="separate"/>
                </w:r>
                <w:r w:rsidR="008E26AC">
                  <w:rPr>
                    <w:rStyle w:val="HeaderorfooterArial"/>
                    <w:noProof/>
                  </w:rPr>
                  <w:t>22</w:t>
                </w:r>
                <w:r>
                  <w:rPr>
                    <w:rStyle w:val="HeaderorfooterArial"/>
                  </w:rPr>
                  <w:fldChar w:fldCharType="end"/>
                </w:r>
              </w:p>
            </w:txbxContent>
          </v:textbox>
          <w10:wrap type="topAndBottom"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B1" w:rsidRDefault="00851FB1" w:rsidP="00090571">
      <w:pPr>
        <w:spacing w:after="0" w:line="240" w:lineRule="auto"/>
      </w:pPr>
      <w:r w:rsidRPr="00090571">
        <w:rPr>
          <w:color w:val="000000"/>
        </w:rPr>
        <w:separator/>
      </w:r>
    </w:p>
  </w:footnote>
  <w:footnote w:type="continuationSeparator" w:id="0">
    <w:p w:rsidR="00851FB1" w:rsidRDefault="00851FB1" w:rsidP="00090571">
      <w:pPr>
        <w:spacing w:after="0" w:line="240" w:lineRule="auto"/>
      </w:pPr>
      <w:r>
        <w:continuationSeparator/>
      </w:r>
    </w:p>
  </w:footnote>
  <w:footnote w:id="1">
    <w:p w:rsidR="00090571" w:rsidRDefault="00851FB1">
      <w:pPr>
        <w:pStyle w:val="FootnoteText"/>
      </w:pPr>
      <w:r w:rsidRPr="00090571">
        <w:rPr>
          <w:rStyle w:val="FootnoteReference"/>
        </w:rPr>
        <w:footnoteRef/>
      </w:r>
      <w:r>
        <w:t xml:space="preserve"> </w:t>
      </w:r>
      <w:r>
        <w:rPr>
          <w:rFonts w:ascii="Arial" w:hAnsi="Arial" w:cs="Arial"/>
          <w:i/>
          <w:sz w:val="16"/>
          <w:szCs w:val="16"/>
          <w:vertAlign w:val="subscript"/>
        </w:rPr>
        <w:t xml:space="preserve">Više o izvještajima na veb stranice: </w:t>
      </w:r>
      <w:hyperlink r:id="rId1" w:history="1">
        <w:r>
          <w:rPr>
            <w:rStyle w:val="Hyperlink"/>
            <w:rFonts w:ascii="Arial" w:hAnsi="Arial" w:cs="Arial"/>
            <w:i/>
            <w:sz w:val="16"/>
            <w:szCs w:val="16"/>
            <w:vertAlign w:val="subscript"/>
          </w:rPr>
          <w:t>https://seenpm.org/resilience-research/</w:t>
        </w:r>
      </w:hyperlink>
    </w:p>
  </w:footnote>
  <w:footnote w:id="2">
    <w:p w:rsidR="00090571" w:rsidRDefault="00851FB1">
      <w:pPr>
        <w:pStyle w:val="FootnoteText"/>
      </w:pPr>
      <w:r w:rsidRPr="00090571">
        <w:rPr>
          <w:rStyle w:val="FootnoteReference"/>
        </w:rPr>
        <w:footnoteRef/>
      </w:r>
      <w:r>
        <w:rPr>
          <w:rFonts w:ascii="Arial" w:hAnsi="Arial" w:cs="Arial"/>
          <w:i/>
          <w:sz w:val="16"/>
          <w:szCs w:val="16"/>
          <w:vertAlign w:val="subscript"/>
        </w:rPr>
        <w:t xml:space="preserve"> The Digital Services Act is</w:t>
      </w:r>
      <w:r>
        <w:rPr>
          <w:rFonts w:ascii="Arial" w:hAnsi="Arial" w:cs="Arial"/>
          <w:i/>
          <w:sz w:val="16"/>
          <w:szCs w:val="16"/>
          <w:vertAlign w:val="subscript"/>
        </w:rPr>
        <w:t xml:space="preserve"> one of two proposals of the Digital Services Act package. The second proposal in the package is the Digital Markets Act (DMA).</w:t>
      </w:r>
    </w:p>
  </w:footnote>
  <w:footnote w:id="3">
    <w:p w:rsidR="00090571" w:rsidRDefault="00851FB1">
      <w:pPr>
        <w:pStyle w:val="FootnoteText"/>
      </w:pPr>
      <w:r w:rsidRPr="00090571">
        <w:rPr>
          <w:rStyle w:val="FootnoteReference"/>
        </w:rPr>
        <w:footnoteRef/>
      </w:r>
      <w:r>
        <w:rPr>
          <w:rFonts w:ascii="Arial" w:hAnsi="Arial" w:cs="Arial"/>
          <w:i/>
          <w:sz w:val="16"/>
          <w:szCs w:val="16"/>
          <w:vertAlign w:val="subscript"/>
        </w:rPr>
        <w:t xml:space="preserve"> European Commission, Proposal for a Regulation of the European Parliament and of the </w:t>
      </w:r>
      <w:r>
        <w:rPr>
          <w:rFonts w:ascii="Arial" w:hAnsi="Arial" w:cs="Arial"/>
          <w:i/>
          <w:sz w:val="16"/>
          <w:szCs w:val="16"/>
          <w:vertAlign w:val="subscript"/>
        </w:rPr>
        <w:t>Council on a Single Market For Digital Services (Digital Services Act) and amending Directive 2000/31/EC, 15 December 2020, https://eur-lex.europa.eu/legal-content/en/TXT/?uri=C0M%3A2020%3A825%3AFIN.</w:t>
      </w:r>
    </w:p>
  </w:footnote>
  <w:footnote w:id="4">
    <w:p w:rsidR="00090571" w:rsidRDefault="00851FB1">
      <w:pPr>
        <w:pStyle w:val="FootnoteText"/>
      </w:pPr>
      <w:r w:rsidRPr="00090571">
        <w:rPr>
          <w:rStyle w:val="FootnoteReference"/>
        </w:rPr>
        <w:footnoteRef/>
      </w:r>
      <w:r>
        <w:rPr>
          <w:rFonts w:ascii="Arial" w:hAnsi="Arial" w:cs="Arial"/>
          <w:i/>
          <w:sz w:val="16"/>
          <w:szCs w:val="16"/>
          <w:vertAlign w:val="subscript"/>
        </w:rPr>
        <w:t xml:space="preserve"> Such as the Directive on Electronic Commerce (European Parliament and the Council of the European Union, Directive on Electronic Commerce, 8 June 2000,</w:t>
      </w:r>
      <w:hyperlink r:id="rId2" w:history="1">
        <w:r>
          <w:rPr>
            <w:rStyle w:val="Hyperlink"/>
            <w:rFonts w:ascii="Arial" w:hAnsi="Arial" w:cs="Arial"/>
            <w:i/>
            <w:sz w:val="16"/>
            <w:szCs w:val="16"/>
            <w:vertAlign w:val="subscript"/>
          </w:rPr>
          <w:t>https://eur-lex.europa.eu/legal-content/EN/TXT/HTML/?uri=CELEX:32000L0031&amp;from=EN)</w:t>
        </w:r>
      </w:hyperlink>
    </w:p>
  </w:footnote>
  <w:footnote w:id="5">
    <w:p w:rsidR="00090571" w:rsidRDefault="00851FB1">
      <w:pPr>
        <w:pStyle w:val="FootnoteText"/>
      </w:pPr>
      <w:r w:rsidRPr="00090571">
        <w:rPr>
          <w:rStyle w:val="FootnoteReference"/>
        </w:rPr>
        <w:footnoteRef/>
      </w:r>
      <w:r>
        <w:rPr>
          <w:rFonts w:ascii="Arial" w:hAnsi="Arial" w:cs="Arial"/>
          <w:i/>
          <w:sz w:val="16"/>
          <w:szCs w:val="16"/>
          <w:vertAlign w:val="subscript"/>
        </w:rPr>
        <w:t xml:space="preserve"> The Council of the European Union, Council Framework Decision 2008/913/JHA on combating certain forms and expressions of racism and xenophobia by means of criminal law, 28 November 2008,</w:t>
      </w:r>
      <w:hyperlink r:id="rId3" w:history="1">
        <w:r>
          <w:rPr>
            <w:rStyle w:val="Hyperlink"/>
            <w:rFonts w:ascii="Arial" w:hAnsi="Arial" w:cs="Arial"/>
            <w:i/>
            <w:sz w:val="16"/>
            <w:szCs w:val="16"/>
            <w:vertAlign w:val="subscript"/>
          </w:rPr>
          <w:t>https://eur-lex.europa.eu/legal-content/EN/TXT/HTML/?uri=CELEX:32008F0913&amp;from=en</w:t>
        </w:r>
      </w:hyperlink>
    </w:p>
  </w:footnote>
  <w:footnote w:id="6">
    <w:p w:rsidR="00090571" w:rsidRDefault="00851FB1">
      <w:pPr>
        <w:pStyle w:val="FootnoteText"/>
      </w:pPr>
      <w:r w:rsidRPr="00090571">
        <w:rPr>
          <w:rStyle w:val="FootnoteReference"/>
        </w:rPr>
        <w:footnoteRef/>
      </w:r>
      <w:r>
        <w:rPr>
          <w:rFonts w:ascii="Arial" w:hAnsi="Arial" w:cs="Arial"/>
          <w:i/>
          <w:sz w:val="16"/>
          <w:szCs w:val="16"/>
          <w:vertAlign w:val="subscript"/>
        </w:rPr>
        <w:t xml:space="preserve"> </w:t>
      </w:r>
      <w:r>
        <w:rPr>
          <w:rFonts w:ascii="Arial" w:hAnsi="Arial" w:cs="Arial"/>
          <w:i/>
          <w:sz w:val="16"/>
          <w:szCs w:val="16"/>
          <w:vertAlign w:val="subscript"/>
        </w:rPr>
        <w:t>Wikipedia, Digital Services Act,</w:t>
      </w:r>
      <w:hyperlink r:id="rId4" w:history="1">
        <w:r>
          <w:rPr>
            <w:rStyle w:val="Hyperlink"/>
            <w:rFonts w:ascii="Arial" w:hAnsi="Arial" w:cs="Arial"/>
            <w:i/>
            <w:sz w:val="16"/>
            <w:szCs w:val="16"/>
            <w:vertAlign w:val="subscript"/>
          </w:rPr>
          <w:t>https://en.wikipedia.org/wiki/Digital_Services_Act</w:t>
        </w:r>
      </w:hyperlink>
    </w:p>
  </w:footnote>
  <w:footnote w:id="7">
    <w:p w:rsidR="00090571" w:rsidRDefault="00851FB1">
      <w:pPr>
        <w:pStyle w:val="FootnoteText"/>
      </w:pPr>
      <w:r w:rsidRPr="00090571">
        <w:rPr>
          <w:rStyle w:val="FootnoteReference"/>
        </w:rPr>
        <w:footnoteRef/>
      </w:r>
      <w:r>
        <w:rPr>
          <w:rFonts w:ascii="Arial" w:hAnsi="Arial" w:cs="Arial"/>
          <w:i/>
          <w:sz w:val="16"/>
          <w:szCs w:val="16"/>
          <w:vertAlign w:val="subscript"/>
        </w:rPr>
        <w:t xml:space="preserve"> "The Digital Services Act package is here," Allen &amp; Overy, 16 December 2020, </w:t>
      </w:r>
      <w:hyperlink r:id="rId5" w:history="1">
        <w:r>
          <w:rPr>
            <w:rStyle w:val="Hyperlink"/>
            <w:rFonts w:ascii="Arial" w:hAnsi="Arial" w:cs="Arial"/>
            <w:i/>
            <w:sz w:val="16"/>
            <w:szCs w:val="16"/>
            <w:vertAlign w:val="subscript"/>
          </w:rPr>
          <w:t>https://www.allenovery.com/en-gb/global/news-and-insights/publications/the-digital-services-act-package-is-here</w:t>
        </w:r>
      </w:hyperlink>
    </w:p>
  </w:footnote>
  <w:footnote w:id="8">
    <w:p w:rsidR="00090571" w:rsidRDefault="00851FB1">
      <w:pPr>
        <w:pStyle w:val="FootnoteText"/>
      </w:pPr>
      <w:r w:rsidRPr="00090571">
        <w:rPr>
          <w:rStyle w:val="FootnoteReference"/>
        </w:rPr>
        <w:footnoteRef/>
      </w:r>
      <w:r>
        <w:rPr>
          <w:rFonts w:ascii="Arial" w:hAnsi="Arial" w:cs="Arial"/>
          <w:i/>
          <w:sz w:val="16"/>
          <w:szCs w:val="16"/>
          <w:vertAlign w:val="subscript"/>
        </w:rPr>
        <w:t xml:space="preserve"> Jan Penfrat, “The EU’s attem</w:t>
      </w:r>
      <w:r>
        <w:rPr>
          <w:rFonts w:ascii="Arial" w:hAnsi="Arial" w:cs="Arial"/>
          <w:i/>
          <w:sz w:val="16"/>
          <w:szCs w:val="16"/>
          <w:vertAlign w:val="subscript"/>
        </w:rPr>
        <w:t xml:space="preserve">pt to regulate Big Tech: What it brings and what is missing,” EDRi, 18 December 2020, </w:t>
      </w:r>
      <w:hyperlink r:id="rId6" w:history="1">
        <w:r>
          <w:rPr>
            <w:rStyle w:val="Hyperlink"/>
            <w:rFonts w:ascii="Arial" w:hAnsi="Arial" w:cs="Arial"/>
            <w:i/>
            <w:sz w:val="16"/>
            <w:szCs w:val="16"/>
            <w:vertAlign w:val="subscript"/>
          </w:rPr>
          <w:t>https://edri.org/our-work/eu-attempt-to-regulate-big-tech/</w:t>
        </w:r>
      </w:hyperlink>
    </w:p>
  </w:footnote>
  <w:footnote w:id="9">
    <w:p w:rsidR="00090571" w:rsidRDefault="00851FB1">
      <w:pPr>
        <w:pStyle w:val="FootnoteText"/>
      </w:pPr>
      <w:r w:rsidRPr="00090571">
        <w:rPr>
          <w:rStyle w:val="FootnoteReference"/>
        </w:rPr>
        <w:footnoteRef/>
      </w:r>
      <w:r>
        <w:rPr>
          <w:rFonts w:ascii="Arial" w:hAnsi="Arial" w:cs="Arial"/>
          <w:i/>
          <w:sz w:val="16"/>
          <w:szCs w:val="16"/>
          <w:vertAlign w:val="subscript"/>
        </w:rPr>
        <w:t xml:space="preserve"> </w:t>
      </w:r>
      <w:proofErr w:type="gramStart"/>
      <w:r>
        <w:rPr>
          <w:rFonts w:ascii="Arial" w:hAnsi="Arial" w:cs="Arial"/>
          <w:i/>
          <w:sz w:val="16"/>
          <w:szCs w:val="16"/>
          <w:vertAlign w:val="subscript"/>
        </w:rPr>
        <w:t>Ibid.</w:t>
      </w:r>
      <w:proofErr w:type="gramEnd"/>
      <w:r>
        <w:rPr>
          <w:rFonts w:ascii="Arial" w:hAnsi="Arial" w:cs="Arial"/>
          <w:i/>
          <w:sz w:val="16"/>
          <w:szCs w:val="16"/>
          <w:vertAlign w:val="subscript"/>
        </w:rPr>
        <w:t xml:space="preserve"> </w:t>
      </w:r>
    </w:p>
  </w:footnote>
  <w:footnote w:id="10">
    <w:p w:rsidR="00090571" w:rsidRDefault="00851FB1">
      <w:pPr>
        <w:pStyle w:val="FootnoteText"/>
      </w:pPr>
      <w:r w:rsidRPr="00090571">
        <w:rPr>
          <w:rStyle w:val="FootnoteReference"/>
        </w:rPr>
        <w:footnoteRef/>
      </w:r>
      <w:r>
        <w:rPr>
          <w:rFonts w:ascii="Arial" w:hAnsi="Arial" w:cs="Arial"/>
          <w:i/>
          <w:sz w:val="16"/>
          <w:szCs w:val="16"/>
          <w:vertAlign w:val="subscript"/>
        </w:rPr>
        <w:t xml:space="preserve"> Human Rights Alliance, Joint Statement of t</w:t>
      </w:r>
      <w:r>
        <w:rPr>
          <w:rFonts w:ascii="Arial" w:hAnsi="Arial" w:cs="Arial"/>
          <w:i/>
          <w:sz w:val="16"/>
          <w:szCs w:val="16"/>
          <w:vertAlign w:val="subscript"/>
        </w:rPr>
        <w:t xml:space="preserve">he Digital Services Act Human Rights Alliance, 21 October 2021, </w:t>
      </w:r>
      <w:hyperlink r:id="rId7" w:history="1">
        <w:r>
          <w:rPr>
            <w:rStyle w:val="Hyperlink"/>
            <w:rFonts w:ascii="Arial" w:hAnsi="Arial" w:cs="Arial"/>
            <w:i/>
            <w:sz w:val="16"/>
            <w:szCs w:val="16"/>
            <w:vertAlign w:val="subscript"/>
          </w:rPr>
          <w:t>https://www.accessnow.org/cms/assets/uploads/2021/10/Digital_Serv</w:t>
        </w:r>
        <w:r>
          <w:rPr>
            <w:rStyle w:val="Hyperlink"/>
            <w:rFonts w:ascii="Arial" w:hAnsi="Arial" w:cs="Arial"/>
            <w:i/>
            <w:sz w:val="16"/>
            <w:szCs w:val="16"/>
            <w:vertAlign w:val="subscript"/>
          </w:rPr>
          <w:t>ices_Act_Human_Rights_Alliance_Statement.pdf</w:t>
        </w:r>
      </w:hyperlink>
    </w:p>
  </w:footnote>
  <w:footnote w:id="11">
    <w:p w:rsidR="00090571" w:rsidRDefault="00851FB1">
      <w:pPr>
        <w:pStyle w:val="FootnoteText"/>
      </w:pPr>
      <w:r w:rsidRPr="00090571">
        <w:rPr>
          <w:rStyle w:val="FootnoteReference"/>
        </w:rPr>
        <w:footnoteRef/>
      </w:r>
      <w:r>
        <w:rPr>
          <w:rFonts w:ascii="Arial" w:hAnsi="Arial" w:cs="Arial"/>
          <w:i/>
          <w:sz w:val="16"/>
          <w:szCs w:val="16"/>
          <w:vertAlign w:val="subscript"/>
        </w:rPr>
        <w:t xml:space="preserve"> Ibid.</w:t>
      </w:r>
    </w:p>
  </w:footnote>
  <w:footnote w:id="12">
    <w:p w:rsidR="00090571" w:rsidRDefault="00851FB1">
      <w:pPr>
        <w:tabs>
          <w:tab w:val="left" w:pos="409"/>
        </w:tabs>
        <w:ind w:left="20" w:right="20"/>
        <w:jc w:val="both"/>
      </w:pPr>
      <w:r w:rsidRPr="00090571">
        <w:rPr>
          <w:rStyle w:val="FootnoteReference"/>
        </w:rPr>
        <w:footnoteRef/>
      </w:r>
      <w:r>
        <w:rPr>
          <w:rFonts w:ascii="Arial" w:hAnsi="Arial" w:cs="Arial"/>
          <w:sz w:val="16"/>
          <w:szCs w:val="16"/>
          <w:vertAlign w:val="subscript"/>
        </w:rPr>
        <w:t xml:space="preserve"> European Audiovisual Observatory, Unravelling the Digital Services Act package, IRIS Special, 2021, </w:t>
      </w:r>
      <w:hyperlink r:id="rId8" w:history="1">
        <w:r>
          <w:rPr>
            <w:rFonts w:ascii="Arial" w:hAnsi="Arial" w:cs="Arial"/>
            <w:color w:val="0066CC"/>
            <w:sz w:val="16"/>
            <w:szCs w:val="16"/>
            <w:u w:val="single"/>
            <w:vertAlign w:val="subscript"/>
          </w:rPr>
          <w:t>https://rm.coe.i</w:t>
        </w:r>
        <w:r>
          <w:rPr>
            <w:rFonts w:ascii="Arial" w:hAnsi="Arial" w:cs="Arial"/>
            <w:color w:val="0066CC"/>
            <w:sz w:val="16"/>
            <w:szCs w:val="16"/>
            <w:u w:val="single"/>
            <w:vertAlign w:val="subscript"/>
          </w:rPr>
          <w:t>nt/iris-special-2021-01en-dsa-package/1680a43e45</w:t>
        </w:r>
      </w:hyperlink>
      <w:r>
        <w:rPr>
          <w:rFonts w:ascii="Arial" w:hAnsi="Arial" w:cs="Arial"/>
          <w:sz w:val="16"/>
          <w:szCs w:val="16"/>
          <w:vertAlign w:val="subscript"/>
        </w:rPr>
        <w:t>.</w:t>
      </w:r>
    </w:p>
    <w:p w:rsidR="00090571" w:rsidRDefault="00090571">
      <w:pPr>
        <w:pStyle w:val="FootnoteText"/>
        <w:rPr>
          <w:rFonts w:ascii="Arial" w:hAnsi="Arial" w:cs="Arial"/>
        </w:rPr>
      </w:pPr>
    </w:p>
  </w:footnote>
  <w:footnote w:id="13">
    <w:p w:rsidR="00090571" w:rsidRDefault="00851FB1">
      <w:pPr>
        <w:tabs>
          <w:tab w:val="left" w:pos="380"/>
        </w:tabs>
        <w:spacing w:line="240" w:lineRule="auto"/>
        <w:ind w:left="20"/>
        <w:jc w:val="both"/>
      </w:pPr>
      <w:r w:rsidRPr="00090571">
        <w:rPr>
          <w:rStyle w:val="FootnoteReference"/>
        </w:rPr>
        <w:footnoteRef/>
      </w:r>
      <w:r>
        <w:rPr>
          <w:rFonts w:ascii="Arial" w:hAnsi="Arial" w:cs="Arial"/>
          <w:sz w:val="16"/>
          <w:szCs w:val="16"/>
          <w:vertAlign w:val="subscript"/>
        </w:rPr>
        <w:t xml:space="preserve"> Joan Barata, "The Digital</w:t>
      </w:r>
      <w:r>
        <w:rPr>
          <w:rFonts w:ascii="Arial" w:hAnsi="Arial" w:cs="Arial"/>
          <w:sz w:val="16"/>
          <w:szCs w:val="16"/>
          <w:vertAlign w:val="subscript"/>
        </w:rPr>
        <w:t xml:space="preserve"> Services Act and social media power to regulate speech: obligations, liabilities and safeguards," in Unravelling the Digital Services Act package, IRIS Special 2021, European Audiovisual Observatory, 2021, 5-19.</w:t>
      </w:r>
    </w:p>
  </w:footnote>
  <w:footnote w:id="14">
    <w:p w:rsidR="00090571" w:rsidRDefault="00851FB1">
      <w:pPr>
        <w:pStyle w:val="FootnoteText"/>
      </w:pPr>
      <w:r w:rsidRPr="00090571">
        <w:rPr>
          <w:rStyle w:val="FootnoteReference"/>
        </w:rPr>
        <w:footnoteRef/>
      </w:r>
      <w:r>
        <w:rPr>
          <w:rFonts w:ascii="Arial" w:hAnsi="Arial" w:cs="Arial"/>
          <w:sz w:val="16"/>
          <w:szCs w:val="16"/>
          <w:vertAlign w:val="subscript"/>
        </w:rPr>
        <w:t xml:space="preserve"> </w:t>
      </w:r>
      <w:r>
        <w:rPr>
          <w:rFonts w:ascii="Arial" w:hAnsi="Arial" w:cs="Arial"/>
          <w:i/>
          <w:sz w:val="16"/>
          <w:szCs w:val="16"/>
          <w:vertAlign w:val="subscript"/>
        </w:rPr>
        <w:t>Diana Wallis, "Digital Services Act: a media exemp</w:t>
      </w:r>
      <w:r>
        <w:rPr>
          <w:rFonts w:ascii="Arial" w:hAnsi="Arial" w:cs="Arial"/>
          <w:i/>
          <w:sz w:val="16"/>
          <w:szCs w:val="16"/>
          <w:vertAlign w:val="subscript"/>
        </w:rPr>
        <w:t>tion would open a loophole for disinformation", Euroactiv, 20 October 2021,</w:t>
      </w:r>
      <w:hyperlink r:id="rId9" w:history="1">
        <w:r>
          <w:rPr>
            <w:rStyle w:val="Hyperlink"/>
            <w:rFonts w:ascii="Arial" w:hAnsi="Arial" w:cs="Arial"/>
            <w:i/>
            <w:sz w:val="16"/>
            <w:szCs w:val="16"/>
            <w:vertAlign w:val="subscript"/>
          </w:rPr>
          <w:t>https://www.euractiv.com/section/d</w:t>
        </w:r>
        <w:r>
          <w:rPr>
            <w:rStyle w:val="Hyperlink"/>
            <w:rFonts w:ascii="Arial" w:hAnsi="Arial" w:cs="Arial"/>
            <w:i/>
            <w:sz w:val="16"/>
            <w:szCs w:val="16"/>
            <w:vertAlign w:val="subscript"/>
          </w:rPr>
          <w:t>igital/opinion/digital-services-act-a-media-exemption-would-open-a-loophole-for-disinformation/</w:t>
        </w:r>
      </w:hyperlink>
    </w:p>
  </w:footnote>
  <w:footnote w:id="15">
    <w:p w:rsidR="00090571" w:rsidRDefault="00851FB1">
      <w:pPr>
        <w:pStyle w:val="FootnoteText"/>
      </w:pPr>
      <w:r w:rsidRPr="00090571">
        <w:rPr>
          <w:rStyle w:val="FootnoteReference"/>
        </w:rPr>
        <w:footnoteRef/>
      </w:r>
      <w:r>
        <w:rPr>
          <w:rFonts w:ascii="Arial" w:hAnsi="Arial" w:cs="Arial"/>
          <w:sz w:val="16"/>
          <w:szCs w:val="16"/>
          <w:vertAlign w:val="subscript"/>
        </w:rPr>
        <w:t xml:space="preserve"> </w:t>
      </w:r>
      <w:r>
        <w:rPr>
          <w:rFonts w:ascii="Arial" w:hAnsi="Arial" w:cs="Arial"/>
          <w:i/>
          <w:sz w:val="16"/>
          <w:szCs w:val="16"/>
          <w:vertAlign w:val="subscript"/>
        </w:rPr>
        <w:t xml:space="preserve">Disinfo.eu, Fact-checkers and experts call on MEPs to reject a media exemption in the DSA, 5 November 2021, </w:t>
      </w:r>
      <w:hyperlink r:id="rId10" w:history="1">
        <w:r>
          <w:rPr>
            <w:rStyle w:val="Hyperlink"/>
            <w:rFonts w:ascii="Arial" w:hAnsi="Arial" w:cs="Arial"/>
            <w:i/>
            <w:sz w:val="16"/>
            <w:szCs w:val="16"/>
            <w:vertAlign w:val="subscript"/>
          </w:rPr>
          <w:t>https://www.disinfo.eu/advocacy/fact-checkers-and-experts-call-on-meps-to-reject-a-media-exemption-in-the-dsa/</w:t>
        </w:r>
      </w:hyperlink>
    </w:p>
  </w:footnote>
  <w:footnote w:id="16">
    <w:p w:rsidR="00090571" w:rsidRDefault="00851FB1">
      <w:pPr>
        <w:tabs>
          <w:tab w:val="left" w:pos="394"/>
        </w:tabs>
        <w:spacing w:line="240" w:lineRule="auto"/>
        <w:ind w:left="20" w:right="100"/>
        <w:jc w:val="both"/>
      </w:pPr>
      <w:r w:rsidRPr="00090571">
        <w:rPr>
          <w:rStyle w:val="FootnoteReference"/>
        </w:rPr>
        <w:footnoteRef/>
      </w:r>
      <w:r>
        <w:rPr>
          <w:rFonts w:ascii="Arial" w:hAnsi="Arial" w:cs="Arial"/>
          <w:sz w:val="16"/>
          <w:szCs w:val="16"/>
          <w:vertAlign w:val="subscript"/>
        </w:rPr>
        <w:t xml:space="preserve"> </w:t>
      </w:r>
      <w:proofErr w:type="gramStart"/>
      <w:r>
        <w:rPr>
          <w:rFonts w:ascii="Arial" w:hAnsi="Arial" w:cs="Arial"/>
          <w:sz w:val="16"/>
          <w:szCs w:val="16"/>
          <w:vertAlign w:val="subscript"/>
        </w:rPr>
        <w:t xml:space="preserve">European Parliament and the Council of the European Union, Audiovisual Media Services Directive, 10 March 2010, </w:t>
      </w:r>
      <w:hyperlink r:id="rId11" w:history="1">
        <w:r>
          <w:rPr>
            <w:rFonts w:ascii="Arial" w:hAnsi="Arial" w:cs="Arial"/>
            <w:color w:val="0066CC"/>
            <w:sz w:val="16"/>
            <w:szCs w:val="16"/>
            <w:u w:val="single"/>
            <w:vertAlign w:val="subscript"/>
          </w:rPr>
          <w:t>https://eur-lex.europa.eu/legal-conte</w:t>
        </w:r>
        <w:r>
          <w:rPr>
            <w:rFonts w:ascii="Arial" w:hAnsi="Arial" w:cs="Arial"/>
            <w:color w:val="0066CC"/>
            <w:sz w:val="16"/>
            <w:szCs w:val="16"/>
            <w:u w:val="single"/>
            <w:vertAlign w:val="subscript"/>
          </w:rPr>
          <w:t>nt/EN/TXT/HTML/?uri=CELEX:32010L0013&amp;from=EN</w:t>
        </w:r>
      </w:hyperlink>
      <w:r>
        <w:rPr>
          <w:rFonts w:ascii="Arial" w:hAnsi="Arial" w:cs="Arial"/>
          <w:sz w:val="16"/>
          <w:szCs w:val="16"/>
          <w:vertAlign w:val="subscript"/>
        </w:rPr>
        <w:t>.</w:t>
      </w:r>
      <w:proofErr w:type="gramEnd"/>
    </w:p>
  </w:footnote>
  <w:footnote w:id="17">
    <w:p w:rsidR="00090571" w:rsidRDefault="00851FB1">
      <w:pPr>
        <w:tabs>
          <w:tab w:val="left" w:pos="394"/>
        </w:tabs>
        <w:spacing w:line="240" w:lineRule="auto"/>
        <w:ind w:left="20" w:right="20"/>
        <w:jc w:val="both"/>
      </w:pPr>
      <w:r w:rsidRPr="00090571">
        <w:rPr>
          <w:rStyle w:val="FootnoteReference"/>
        </w:rPr>
        <w:footnoteRef/>
      </w:r>
      <w:r>
        <w:rPr>
          <w:rFonts w:ascii="Arial" w:hAnsi="Arial" w:cs="Arial"/>
          <w:sz w:val="16"/>
          <w:szCs w:val="16"/>
          <w:vertAlign w:val="subscript"/>
        </w:rPr>
        <w:t xml:space="preserve"> European Parliament and the Council of the European Union, Audiovisual Media Services Directive, 14 November2018</w:t>
      </w:r>
      <w:proofErr w:type="gramStart"/>
      <w:r>
        <w:rPr>
          <w:rFonts w:ascii="Arial" w:hAnsi="Arial" w:cs="Arial"/>
          <w:sz w:val="16"/>
          <w:szCs w:val="16"/>
          <w:vertAlign w:val="subscript"/>
        </w:rPr>
        <w:t>,</w:t>
      </w:r>
      <w:proofErr w:type="gramEnd"/>
      <w:r w:rsidR="00090571">
        <w:fldChar w:fldCharType="begin"/>
      </w:r>
      <w:r w:rsidR="00090571">
        <w:instrText xml:space="preserve"> HYPERLINK  "https://eur-lex.europa.eu/legal-content/EN/TXT/HTML/?uri=CELEX:32018L1808&amp;from=SL" </w:instrText>
      </w:r>
      <w:r w:rsidR="00090571">
        <w:fldChar w:fldCharType="separate"/>
      </w:r>
      <w:r>
        <w:rPr>
          <w:rFonts w:ascii="Arial" w:hAnsi="Arial" w:cs="Arial"/>
          <w:color w:val="0066CC"/>
          <w:sz w:val="16"/>
          <w:szCs w:val="16"/>
          <w:u w:val="single"/>
          <w:vertAlign w:val="subscript"/>
        </w:rPr>
        <w:t>https://eur-lex.europa.eu/legal-content/EN/TXT/HTML/?uri=CELEX:32018L1808&amp;from=SL</w:t>
      </w:r>
      <w:r w:rsidR="00090571">
        <w:fldChar w:fldCharType="end"/>
      </w:r>
      <w:r>
        <w:rPr>
          <w:rFonts w:ascii="Arial" w:hAnsi="Arial" w:cs="Arial"/>
          <w:sz w:val="16"/>
          <w:szCs w:val="16"/>
          <w:vertAlign w:val="subscript"/>
        </w:rPr>
        <w:t>.</w:t>
      </w:r>
    </w:p>
  </w:footnote>
  <w:footnote w:id="18">
    <w:p w:rsidR="00090571" w:rsidRDefault="00851FB1">
      <w:pPr>
        <w:pStyle w:val="FootnoteText"/>
      </w:pPr>
      <w:r w:rsidRPr="00090571">
        <w:rPr>
          <w:rStyle w:val="FootnoteReference"/>
        </w:rPr>
        <w:footnoteRef/>
      </w:r>
      <w:r>
        <w:rPr>
          <w:rFonts w:ascii="Arial" w:hAnsi="Arial" w:cs="Arial"/>
          <w:sz w:val="16"/>
          <w:szCs w:val="16"/>
          <w:vertAlign w:val="subscript"/>
        </w:rPr>
        <w:t xml:space="preserve"> </w:t>
      </w:r>
      <w:r>
        <w:rPr>
          <w:rFonts w:ascii="Arial" w:hAnsi="Arial" w:cs="Arial"/>
          <w:i/>
          <w:sz w:val="16"/>
          <w:szCs w:val="16"/>
          <w:vertAlign w:val="subscript"/>
        </w:rPr>
        <w:t>Joan Barata, Regulati</w:t>
      </w:r>
      <w:r>
        <w:rPr>
          <w:rFonts w:ascii="Arial" w:hAnsi="Arial" w:cs="Arial"/>
          <w:i/>
          <w:sz w:val="16"/>
          <w:szCs w:val="16"/>
          <w:vertAlign w:val="subscript"/>
        </w:rPr>
        <w:t xml:space="preserve">ng content moderation in Europe beyond the AVMSD, 25 February 2020, </w:t>
      </w:r>
      <w:hyperlink r:id="rId12" w:history="1">
        <w:r>
          <w:rPr>
            <w:rStyle w:val="Hyperlink"/>
            <w:rFonts w:ascii="Arial" w:hAnsi="Arial" w:cs="Arial"/>
            <w:i/>
            <w:sz w:val="16"/>
            <w:szCs w:val="16"/>
            <w:vertAlign w:val="subscript"/>
          </w:rPr>
          <w:t>https://blogs.lse.ac.uk/medialse/2020/02/25/regulating-content-modera</w:t>
        </w:r>
        <w:r>
          <w:rPr>
            <w:rStyle w:val="Hyperlink"/>
            <w:rFonts w:ascii="Arial" w:hAnsi="Arial" w:cs="Arial"/>
            <w:i/>
            <w:sz w:val="16"/>
            <w:szCs w:val="16"/>
            <w:vertAlign w:val="subscript"/>
          </w:rPr>
          <w:t>tion-in-europe-beyond-the-avmsd/</w:t>
        </w:r>
      </w:hyperlink>
    </w:p>
  </w:footnote>
  <w:footnote w:id="19">
    <w:p w:rsidR="00090571" w:rsidRDefault="00851FB1">
      <w:pPr>
        <w:pStyle w:val="FootnoteText"/>
      </w:pPr>
      <w:r w:rsidRPr="00090571">
        <w:rPr>
          <w:rStyle w:val="FootnoteReference"/>
        </w:rPr>
        <w:footnoteRef/>
      </w:r>
      <w:r>
        <w:rPr>
          <w:rFonts w:ascii="Arial" w:hAnsi="Arial" w:cs="Arial"/>
          <w:sz w:val="16"/>
          <w:szCs w:val="16"/>
          <w:vertAlign w:val="subscript"/>
        </w:rPr>
        <w:t xml:space="preserve"> </w:t>
      </w:r>
      <w:r>
        <w:rPr>
          <w:rFonts w:ascii="Arial" w:hAnsi="Arial" w:cs="Arial"/>
          <w:i/>
          <w:sz w:val="16"/>
          <w:szCs w:val="16"/>
          <w:vertAlign w:val="subscript"/>
        </w:rPr>
        <w:t xml:space="preserve">Bertie Vidgen, Emily Burden and Helen Margetts, Facing the challenge of online hate: the AVMSD and the role of regulation, 30 March 2021, </w:t>
      </w:r>
      <w:hyperlink r:id="rId13" w:history="1">
        <w:r>
          <w:rPr>
            <w:rStyle w:val="Hyperlink"/>
            <w:rFonts w:ascii="Arial" w:hAnsi="Arial" w:cs="Arial"/>
            <w:i/>
            <w:sz w:val="16"/>
            <w:szCs w:val="16"/>
            <w:vertAlign w:val="subscript"/>
          </w:rPr>
          <w:t>https://blogs.lse.ac.uk/medialse/2021/03/30/facing-the-challenge-of-online-hate-the-avmsd-and-the-role-of-regulation/</w:t>
        </w:r>
      </w:hyperlink>
    </w:p>
  </w:footnote>
  <w:footnote w:id="20">
    <w:p w:rsidR="00090571" w:rsidRDefault="00851FB1">
      <w:pPr>
        <w:pStyle w:val="FootnoteText"/>
      </w:pPr>
      <w:r w:rsidRPr="00090571">
        <w:rPr>
          <w:rStyle w:val="FootnoteReference"/>
        </w:rPr>
        <w:footnoteRef/>
      </w:r>
      <w:r>
        <w:rPr>
          <w:rFonts w:ascii="Arial" w:hAnsi="Arial" w:cs="Arial"/>
          <w:sz w:val="18"/>
          <w:szCs w:val="18"/>
          <w:vertAlign w:val="subscript"/>
        </w:rPr>
        <w:t xml:space="preserve"> </w:t>
      </w:r>
      <w:r>
        <w:rPr>
          <w:rFonts w:ascii="Arial" w:hAnsi="Arial" w:cs="Arial"/>
          <w:i/>
          <w:sz w:val="18"/>
          <w:szCs w:val="18"/>
          <w:vertAlign w:val="subscript"/>
        </w:rPr>
        <w:t>Ibid.</w:t>
      </w:r>
    </w:p>
  </w:footnote>
  <w:footnote w:id="21">
    <w:p w:rsidR="00090571" w:rsidRDefault="00851FB1">
      <w:pPr>
        <w:pStyle w:val="FootnoteText"/>
      </w:pPr>
      <w:r w:rsidRPr="00090571">
        <w:rPr>
          <w:rStyle w:val="FootnoteReference"/>
        </w:rPr>
        <w:footnoteRef/>
      </w:r>
      <w:r>
        <w:rPr>
          <w:rFonts w:ascii="Arial" w:hAnsi="Arial" w:cs="Arial"/>
          <w:i/>
          <w:sz w:val="18"/>
          <w:szCs w:val="18"/>
          <w:vertAlign w:val="subscript"/>
        </w:rPr>
        <w:t xml:space="preserve"> Bertie Vidgen, Emily Burden, and Helen Margetts, Understanding online hate: VSP Regulation and the broader context, The Alan Turing Institute, February 2021, </w:t>
      </w:r>
      <w:hyperlink r:id="rId14" w:history="1">
        <w:r>
          <w:rPr>
            <w:rStyle w:val="Hyperlink"/>
            <w:rFonts w:ascii="Arial" w:hAnsi="Arial" w:cs="Arial"/>
            <w:i/>
            <w:sz w:val="18"/>
            <w:szCs w:val="18"/>
            <w:vertAlign w:val="subscript"/>
          </w:rPr>
          <w:t>https://www.ofcom.org.uk/__data/assets/pdf_file/0022/216490/alan-turing-institute-report-understandi</w:t>
        </w:r>
      </w:hyperlink>
    </w:p>
  </w:footnote>
  <w:footnote w:id="22">
    <w:p w:rsidR="00090571" w:rsidRDefault="00851FB1">
      <w:pPr>
        <w:pStyle w:val="FootnoteText"/>
      </w:pPr>
      <w:r w:rsidRPr="00090571">
        <w:rPr>
          <w:rStyle w:val="FootnoteReference"/>
        </w:rPr>
        <w:footnoteRef/>
      </w:r>
      <w:r>
        <w:rPr>
          <w:rFonts w:ascii="Arial" w:hAnsi="Arial" w:cs="Arial"/>
          <w:i/>
          <w:sz w:val="18"/>
          <w:szCs w:val="18"/>
          <w:vertAlign w:val="subscript"/>
        </w:rPr>
        <w:t xml:space="preserve"> Ibid</w:t>
      </w:r>
    </w:p>
  </w:footnote>
  <w:footnote w:id="23">
    <w:p w:rsidR="00090571" w:rsidRDefault="00851FB1">
      <w:pPr>
        <w:pStyle w:val="FootnoteText"/>
      </w:pPr>
      <w:r w:rsidRPr="00090571">
        <w:rPr>
          <w:rStyle w:val="FootnoteReference"/>
        </w:rPr>
        <w:footnoteRef/>
      </w:r>
      <w:r>
        <w:rPr>
          <w:rFonts w:ascii="Arial" w:hAnsi="Arial" w:cs="Arial"/>
          <w:i/>
          <w:sz w:val="16"/>
          <w:szCs w:val="16"/>
          <w:vertAlign w:val="subscript"/>
        </w:rPr>
        <w:t xml:space="preserve"> Eva Simon, Recommendations for the reform of the Audiovisual Media Services Directive, Civil Liberties Union for Europe, September 2017, </w:t>
      </w:r>
      <w:hyperlink r:id="rId15" w:history="1">
        <w:r>
          <w:rPr>
            <w:rStyle w:val="Hyperlink"/>
            <w:rFonts w:ascii="Arial" w:hAnsi="Arial" w:cs="Arial"/>
            <w:i/>
            <w:sz w:val="16"/>
            <w:szCs w:val="16"/>
            <w:vertAlign w:val="subscript"/>
          </w:rPr>
          <w:t>https://drive.google.com/file/d/0B07ejuhu6mZ5Zk5aUGJyTmt5OWM/view?resourcekey=0-1S2CLG5-68jk_2xCDkUkcQ</w:t>
        </w:r>
      </w:hyperlink>
    </w:p>
  </w:footnote>
  <w:footnote w:id="24">
    <w:p w:rsidR="00090571" w:rsidRDefault="00851FB1">
      <w:pPr>
        <w:tabs>
          <w:tab w:val="left" w:pos="379"/>
        </w:tabs>
        <w:spacing w:line="140" w:lineRule="exact"/>
      </w:pPr>
      <w:r w:rsidRPr="00090571">
        <w:rPr>
          <w:rStyle w:val="FootnoteReference"/>
        </w:rPr>
        <w:footnoteRef/>
      </w:r>
      <w:r>
        <w:rPr>
          <w:rFonts w:ascii="Arial" w:hAnsi="Arial" w:cs="Arial"/>
          <w:sz w:val="16"/>
          <w:szCs w:val="16"/>
          <w:vertAlign w:val="subscript"/>
        </w:rPr>
        <w:t xml:space="preserve"> Ibid.</w:t>
      </w:r>
    </w:p>
  </w:footnote>
  <w:footnote w:id="25">
    <w:p w:rsidR="00090571" w:rsidRDefault="00851FB1">
      <w:pPr>
        <w:pStyle w:val="FootnoteText"/>
      </w:pPr>
      <w:r w:rsidRPr="00090571">
        <w:rPr>
          <w:rStyle w:val="FootnoteReference"/>
        </w:rPr>
        <w:footnoteRef/>
      </w:r>
      <w:r>
        <w:rPr>
          <w:rFonts w:ascii="Arial" w:hAnsi="Arial" w:cs="Arial"/>
          <w:sz w:val="16"/>
          <w:szCs w:val="16"/>
          <w:vertAlign w:val="subscript"/>
        </w:rPr>
        <w:t xml:space="preserve"> </w:t>
      </w:r>
      <w:r>
        <w:rPr>
          <w:rFonts w:ascii="Arial" w:hAnsi="Arial" w:cs="Arial"/>
          <w:i/>
          <w:sz w:val="16"/>
          <w:szCs w:val="16"/>
          <w:vertAlign w:val="subscript"/>
        </w:rPr>
        <w:t>European Commission, Countering illegal hate speech online, https://ec.europa.eu/newsroom/just/</w:t>
      </w:r>
    </w:p>
    <w:p w:rsidR="00090571" w:rsidRDefault="00851FB1">
      <w:pPr>
        <w:pStyle w:val="FootnoteText"/>
        <w:rPr>
          <w:rFonts w:ascii="Arial" w:hAnsi="Arial" w:cs="Arial"/>
          <w:i/>
          <w:sz w:val="16"/>
          <w:szCs w:val="16"/>
          <w:vertAlign w:val="subscript"/>
        </w:rPr>
      </w:pPr>
      <w:proofErr w:type="gramStart"/>
      <w:r>
        <w:rPr>
          <w:rFonts w:ascii="Arial" w:hAnsi="Arial" w:cs="Arial"/>
          <w:i/>
          <w:sz w:val="16"/>
          <w:szCs w:val="16"/>
          <w:vertAlign w:val="subscript"/>
        </w:rPr>
        <w:t>items/54300</w:t>
      </w:r>
      <w:proofErr w:type="gramEnd"/>
      <w:r>
        <w:rPr>
          <w:rFonts w:ascii="Arial" w:hAnsi="Arial" w:cs="Arial"/>
          <w:i/>
          <w:sz w:val="16"/>
          <w:szCs w:val="16"/>
          <w:vertAlign w:val="subscript"/>
        </w:rPr>
        <w:t>.</w:t>
      </w:r>
    </w:p>
  </w:footnote>
  <w:footnote w:id="26">
    <w:p w:rsidR="00090571" w:rsidRDefault="00851FB1">
      <w:pPr>
        <w:tabs>
          <w:tab w:val="left" w:pos="424"/>
        </w:tabs>
        <w:spacing w:line="140" w:lineRule="exact"/>
        <w:ind w:left="40"/>
      </w:pPr>
      <w:r w:rsidRPr="00090571">
        <w:rPr>
          <w:rStyle w:val="FootnoteReference"/>
        </w:rPr>
        <w:footnoteRef/>
      </w:r>
      <w:r>
        <w:rPr>
          <w:rFonts w:ascii="Arial" w:hAnsi="Arial" w:cs="Arial"/>
          <w:sz w:val="16"/>
          <w:szCs w:val="16"/>
          <w:vertAlign w:val="subscript"/>
        </w:rPr>
        <w:t xml:space="preserve"> European Commission, The Code of conduct on countering illegal hate speech online, 22 June 2020, </w:t>
      </w:r>
      <w:hyperlink r:id="rId16" w:history="1">
        <w:r>
          <w:rPr>
            <w:rStyle w:val="Hyperlink"/>
            <w:rFonts w:ascii="Arial" w:hAnsi="Arial" w:cs="Arial"/>
            <w:sz w:val="16"/>
            <w:szCs w:val="16"/>
            <w:vertAlign w:val="subscript"/>
          </w:rPr>
          <w:t>https://ec.europa.eu/commission/presscorner/detail/en/qanda_20_1135</w:t>
        </w:r>
      </w:hyperlink>
    </w:p>
  </w:footnote>
  <w:footnote w:id="27">
    <w:p w:rsidR="00090571" w:rsidRDefault="00851FB1">
      <w:pPr>
        <w:pStyle w:val="FootnoteText"/>
      </w:pPr>
      <w:r w:rsidRPr="00090571">
        <w:rPr>
          <w:rStyle w:val="FootnoteReference"/>
        </w:rPr>
        <w:footnoteRef/>
      </w:r>
      <w:r>
        <w:rPr>
          <w:rFonts w:ascii="Arial" w:hAnsi="Arial" w:cs="Arial"/>
          <w:sz w:val="16"/>
          <w:szCs w:val="16"/>
          <w:vertAlign w:val="subscript"/>
        </w:rPr>
        <w:t xml:space="preserve"> Didier Reynders, Countering </w:t>
      </w:r>
      <w:r>
        <w:rPr>
          <w:rFonts w:ascii="Arial" w:hAnsi="Arial" w:cs="Arial"/>
          <w:sz w:val="16"/>
          <w:szCs w:val="16"/>
          <w:vertAlign w:val="subscript"/>
        </w:rPr>
        <w:t xml:space="preserve">illegal hate speech online: 6th evaluation of the Code of Conduct, European Commission, 7 October2021, </w:t>
      </w:r>
      <w:hyperlink r:id="rId17" w:history="1">
        <w:r>
          <w:rPr>
            <w:rStyle w:val="Hyperlink"/>
            <w:rFonts w:ascii="Arial" w:hAnsi="Arial" w:cs="Arial"/>
            <w:sz w:val="16"/>
            <w:szCs w:val="16"/>
            <w:vertAlign w:val="subscript"/>
          </w:rPr>
          <w:t>https://ec.euro</w:t>
        </w:r>
        <w:r>
          <w:rPr>
            <w:rStyle w:val="Hyperlink"/>
            <w:rFonts w:ascii="Arial" w:hAnsi="Arial" w:cs="Arial"/>
            <w:sz w:val="16"/>
            <w:szCs w:val="16"/>
            <w:vertAlign w:val="subscript"/>
          </w:rPr>
          <w:t>pa.eu/info/sites/default/files/factsheet-6th-monitoring-round-of-the-code-of-conduct_october2021_en_1.pdf</w:t>
        </w:r>
      </w:hyperlink>
    </w:p>
  </w:footnote>
  <w:footnote w:id="28">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Commission publishes EU Code of Conduct on countering illegal hate speech online continues to deliver results, 22 June 2020, </w:t>
      </w:r>
      <w:hyperlink r:id="rId18" w:history="1">
        <w:r>
          <w:rPr>
            <w:rStyle w:val="Hyperlink"/>
            <w:rFonts w:ascii="Arial" w:hAnsi="Arial" w:cs="Arial"/>
            <w:sz w:val="16"/>
            <w:szCs w:val="16"/>
            <w:vertAlign w:val="subscript"/>
          </w:rPr>
          <w:t>https://ec.europa.eu/commission/presscorner/detail/en/IP_20_1134</w:t>
        </w:r>
      </w:hyperlink>
    </w:p>
  </w:footnote>
  <w:footnote w:id="29">
    <w:p w:rsidR="00090571" w:rsidRDefault="00851FB1">
      <w:pPr>
        <w:pStyle w:val="FootnoteText"/>
      </w:pPr>
      <w:r w:rsidRPr="00090571">
        <w:rPr>
          <w:rStyle w:val="FootnoteReference"/>
        </w:rPr>
        <w:footnoteRef/>
      </w:r>
      <w:r>
        <w:rPr>
          <w:rFonts w:ascii="Arial" w:hAnsi="Arial" w:cs="Arial"/>
          <w:sz w:val="16"/>
          <w:szCs w:val="16"/>
          <w:vertAlign w:val="subscript"/>
        </w:rPr>
        <w:t xml:space="preserve"> Barbora Bukovska, Article 19: The European Commission's Co</w:t>
      </w:r>
      <w:r>
        <w:rPr>
          <w:rFonts w:ascii="Arial" w:hAnsi="Arial" w:cs="Arial"/>
          <w:sz w:val="16"/>
          <w:szCs w:val="16"/>
          <w:vertAlign w:val="subscript"/>
        </w:rPr>
        <w:t xml:space="preserve">de of Conduct for Countering Illegal Hate Speech Online: An analysis of freedom of expression implications, Transatlantic Working Group, 7 May 2019, </w:t>
      </w:r>
      <w:hyperlink r:id="rId19" w:history="1">
        <w:r>
          <w:rPr>
            <w:rStyle w:val="Hyperlink"/>
            <w:rFonts w:ascii="Arial" w:hAnsi="Arial" w:cs="Arial"/>
            <w:sz w:val="16"/>
            <w:szCs w:val="16"/>
            <w:vertAlign w:val="subscript"/>
          </w:rPr>
          <w:t>https://www.ivir.nl/publicaties/down</w:t>
        </w:r>
        <w:r>
          <w:rPr>
            <w:rStyle w:val="Hyperlink"/>
            <w:rFonts w:ascii="Arial" w:hAnsi="Arial" w:cs="Arial"/>
            <w:sz w:val="16"/>
            <w:szCs w:val="16"/>
            <w:vertAlign w:val="subscript"/>
          </w:rPr>
          <w:t>load/Bukovska.pdf</w:t>
        </w:r>
      </w:hyperlink>
      <w:r>
        <w:rPr>
          <w:rFonts w:ascii="Arial" w:hAnsi="Arial" w:cs="Arial"/>
          <w:sz w:val="16"/>
          <w:szCs w:val="16"/>
          <w:vertAlign w:val="subscript"/>
        </w:rPr>
        <w:t>.</w:t>
      </w:r>
    </w:p>
  </w:footnote>
  <w:footnote w:id="30">
    <w:p w:rsidR="00090571" w:rsidRDefault="00851FB1">
      <w:pPr>
        <w:pStyle w:val="FootnoteText"/>
      </w:pPr>
      <w:r w:rsidRPr="00090571">
        <w:rPr>
          <w:rStyle w:val="FootnoteReference"/>
        </w:rPr>
        <w:footnoteRef/>
      </w:r>
      <w:r>
        <w:rPr>
          <w:rFonts w:ascii="Arial" w:hAnsi="Arial" w:cs="Arial"/>
          <w:sz w:val="16"/>
          <w:szCs w:val="16"/>
          <w:vertAlign w:val="subscript"/>
        </w:rPr>
        <w:t xml:space="preserve"> </w:t>
      </w:r>
      <w:proofErr w:type="gramStart"/>
      <w:r>
        <w:rPr>
          <w:rFonts w:ascii="Arial" w:hAnsi="Arial" w:cs="Arial"/>
          <w:sz w:val="16"/>
          <w:szCs w:val="16"/>
          <w:vertAlign w:val="subscript"/>
        </w:rPr>
        <w:t>Ibid, pp. 6.</w:t>
      </w:r>
      <w:proofErr w:type="gramEnd"/>
    </w:p>
  </w:footnote>
  <w:footnote w:id="31">
    <w:p w:rsidR="00090571" w:rsidRDefault="00851FB1">
      <w:pPr>
        <w:pStyle w:val="FootnoteText"/>
      </w:pPr>
      <w:r w:rsidRPr="00090571">
        <w:rPr>
          <w:rStyle w:val="FootnoteReference"/>
        </w:rPr>
        <w:footnoteRef/>
      </w:r>
      <w:r>
        <w:rPr>
          <w:rFonts w:ascii="Arial" w:hAnsi="Arial" w:cs="Arial"/>
          <w:i/>
          <w:sz w:val="16"/>
          <w:szCs w:val="16"/>
          <w:vertAlign w:val="subscript"/>
        </w:rPr>
        <w:t xml:space="preserve">Molly Killeen, "Progress stalls on Commission's online hate speech efforts", Euractiv, 7 October 2021, </w:t>
      </w:r>
      <w:hyperlink r:id="rId20" w:history="1">
        <w:r>
          <w:rPr>
            <w:rStyle w:val="Hyperlink"/>
            <w:rFonts w:ascii="Arial" w:hAnsi="Arial" w:cs="Arial"/>
            <w:i/>
            <w:sz w:val="16"/>
            <w:szCs w:val="16"/>
            <w:vertAlign w:val="subscript"/>
          </w:rPr>
          <w:t>https://www.euractiv.com/section/digital/news/progress-stalls-on-commissions-online-hate-speech-efforts/</w:t>
        </w:r>
      </w:hyperlink>
    </w:p>
  </w:footnote>
  <w:footnote w:id="32">
    <w:p w:rsidR="00090571" w:rsidRDefault="00851FB1">
      <w:pPr>
        <w:pStyle w:val="FootnoteText"/>
      </w:pPr>
      <w:r w:rsidRPr="00090571">
        <w:rPr>
          <w:rStyle w:val="FootnoteReference"/>
        </w:rPr>
        <w:footnoteRef/>
      </w:r>
      <w:r>
        <w:rPr>
          <w:rFonts w:ascii="Arial" w:hAnsi="Arial" w:cs="Arial"/>
          <w:i/>
          <w:sz w:val="16"/>
          <w:szCs w:val="16"/>
          <w:vertAlign w:val="subscript"/>
        </w:rPr>
        <w:t xml:space="preserve"> Ibid</w:t>
      </w:r>
    </w:p>
  </w:footnote>
  <w:footnote w:id="33">
    <w:p w:rsidR="00090571" w:rsidRDefault="00851FB1">
      <w:pPr>
        <w:pStyle w:val="FootnoteText"/>
      </w:pPr>
      <w:r w:rsidRPr="00090571">
        <w:rPr>
          <w:rStyle w:val="FootnoteReference"/>
        </w:rPr>
        <w:footnoteRef/>
      </w:r>
      <w:r>
        <w:rPr>
          <w:rFonts w:ascii="Arial" w:hAnsi="Arial" w:cs="Arial"/>
          <w:sz w:val="16"/>
          <w:szCs w:val="16"/>
          <w:vertAlign w:val="subscript"/>
        </w:rPr>
        <w:t xml:space="preserve"> Didier Reynders, Countering illegal hate </w:t>
      </w:r>
      <w:r>
        <w:rPr>
          <w:rFonts w:ascii="Arial" w:hAnsi="Arial" w:cs="Arial"/>
          <w:sz w:val="16"/>
          <w:szCs w:val="16"/>
          <w:vertAlign w:val="subscript"/>
        </w:rPr>
        <w:t xml:space="preserve">speech online: 6th evaluation of the Code of Conduct, European Commission, 7 October2021, </w:t>
      </w:r>
      <w:hyperlink r:id="rId21" w:history="1">
        <w:r>
          <w:rPr>
            <w:rStyle w:val="Hyperlink"/>
            <w:rFonts w:ascii="Arial" w:hAnsi="Arial" w:cs="Arial"/>
            <w:sz w:val="16"/>
            <w:szCs w:val="16"/>
            <w:vertAlign w:val="subscript"/>
          </w:rPr>
          <w:t>https://ec.europa.eu/info/si</w:t>
        </w:r>
        <w:r>
          <w:rPr>
            <w:rStyle w:val="Hyperlink"/>
            <w:rFonts w:ascii="Arial" w:hAnsi="Arial" w:cs="Arial"/>
            <w:sz w:val="16"/>
            <w:szCs w:val="16"/>
            <w:vertAlign w:val="subscript"/>
          </w:rPr>
          <w:t>tes/default/files/factsheet-6th-monitoring-round-of-the-code-of-conduct_october2021_en_1.pdf</w:t>
        </w:r>
      </w:hyperlink>
    </w:p>
  </w:footnote>
  <w:footnote w:id="34">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Commission publishes EU Code of Conduct on countering illegal hate speech online continues to deliver results, 22 June 2020, </w:t>
      </w:r>
      <w:hyperlink r:id="rId22" w:history="1">
        <w:r>
          <w:rPr>
            <w:rStyle w:val="Hyperlink"/>
            <w:rFonts w:ascii="Arial" w:hAnsi="Arial" w:cs="Arial"/>
            <w:sz w:val="16"/>
            <w:szCs w:val="16"/>
            <w:vertAlign w:val="subscript"/>
          </w:rPr>
          <w:t>https:/</w:t>
        </w:r>
        <w:r>
          <w:rPr>
            <w:rStyle w:val="Hyperlink"/>
            <w:rFonts w:ascii="Arial" w:hAnsi="Arial" w:cs="Arial"/>
            <w:sz w:val="16"/>
            <w:szCs w:val="16"/>
            <w:vertAlign w:val="subscript"/>
          </w:rPr>
          <w:t>/ec.europa.eu/commission/presscorner/detail/en/IP_20_1134</w:t>
        </w:r>
      </w:hyperlink>
    </w:p>
  </w:footnote>
  <w:footnote w:id="35">
    <w:p w:rsidR="00090571" w:rsidRDefault="00851FB1">
      <w:pPr>
        <w:pStyle w:val="FootnoteText"/>
      </w:pPr>
      <w:r w:rsidRPr="00090571">
        <w:rPr>
          <w:rStyle w:val="FootnoteReference"/>
        </w:rPr>
        <w:footnoteRef/>
      </w:r>
      <w:r>
        <w:rPr>
          <w:rFonts w:ascii="Arial" w:hAnsi="Arial" w:cs="Arial"/>
          <w:i/>
          <w:sz w:val="16"/>
          <w:szCs w:val="16"/>
          <w:vertAlign w:val="subscript"/>
        </w:rPr>
        <w:t xml:space="preserve"> European Commission, Code of Practice on Disinformation, 1 October 2021, </w:t>
      </w:r>
      <w:hyperlink r:id="rId23" w:history="1">
        <w:r>
          <w:rPr>
            <w:rStyle w:val="Hyperlink"/>
            <w:rFonts w:ascii="Arial" w:hAnsi="Arial" w:cs="Arial"/>
            <w:i/>
            <w:sz w:val="16"/>
            <w:szCs w:val="16"/>
            <w:vertAlign w:val="subscript"/>
          </w:rPr>
          <w:t>https://digital-strategy.ec.europa.eu/en/policies/code-practice-disinformation</w:t>
        </w:r>
      </w:hyperlink>
    </w:p>
  </w:footnote>
  <w:footnote w:id="36">
    <w:p w:rsidR="00090571" w:rsidRDefault="00851FB1">
      <w:pPr>
        <w:tabs>
          <w:tab w:val="left" w:pos="470"/>
        </w:tabs>
        <w:ind w:right="20"/>
        <w:jc w:val="both"/>
      </w:pPr>
      <w:r w:rsidRPr="00090571">
        <w:rPr>
          <w:rStyle w:val="FootnoteReference"/>
        </w:rPr>
        <w:footnoteRef/>
      </w:r>
      <w:r>
        <w:rPr>
          <w:rFonts w:ascii="Arial" w:hAnsi="Arial" w:cs="Arial"/>
          <w:sz w:val="16"/>
          <w:szCs w:val="16"/>
          <w:vertAlign w:val="subscript"/>
        </w:rPr>
        <w:t xml:space="preserve"> Current signatories involve major online platforms active in</w:t>
      </w:r>
      <w:r>
        <w:rPr>
          <w:rFonts w:ascii="Arial" w:hAnsi="Arial" w:cs="Arial"/>
          <w:sz w:val="16"/>
          <w:szCs w:val="16"/>
          <w:vertAlign w:val="subscript"/>
        </w:rPr>
        <w:t xml:space="preserve"> the EU, as well as trade associations and relevant players in the online and advertising ecosystems. They are: Google, Facebook, Twitter, Microsoft, TikTok, Mozilla, DOT Europe (Former EDiMA), the World Federation of Advertisers (WFA) and its Belgiancount</w:t>
      </w:r>
      <w:r>
        <w:rPr>
          <w:rFonts w:ascii="Arial" w:hAnsi="Arial" w:cs="Arial"/>
          <w:sz w:val="16"/>
          <w:szCs w:val="16"/>
          <w:vertAlign w:val="subscript"/>
        </w:rPr>
        <w:t>erpart, the Union of Belgian Advertisers (UBA); ...</w:t>
      </w:r>
      <w:r>
        <w:rPr>
          <w:rFonts w:ascii="Arial" w:eastAsia="Arial" w:hAnsi="Arial" w:cs="Arial"/>
          <w:i/>
          <w:iCs/>
          <w:sz w:val="16"/>
          <w:szCs w:val="16"/>
          <w:vertAlign w:val="subscript"/>
        </w:rPr>
        <w:t>...the European Association of Communications Agencies (EACA), and its national members from</w:t>
      </w:r>
      <w:r>
        <w:rPr>
          <w:rFonts w:ascii="Arial" w:hAnsi="Arial" w:cs="Arial"/>
          <w:sz w:val="16"/>
          <w:szCs w:val="16"/>
          <w:vertAlign w:val="subscript"/>
        </w:rPr>
        <w:t xml:space="preserve"> </w:t>
      </w:r>
      <w:r>
        <w:rPr>
          <w:rFonts w:ascii="Arial" w:eastAsia="Arial" w:hAnsi="Arial" w:cs="Arial"/>
          <w:i/>
          <w:iCs/>
          <w:sz w:val="16"/>
          <w:szCs w:val="16"/>
          <w:vertAlign w:val="subscript"/>
        </w:rPr>
        <w:t>France, Poland and the Czech Republic - respectively,</w:t>
      </w:r>
      <w:r>
        <w:rPr>
          <w:rFonts w:ascii="Arial" w:eastAsia="Arial" w:hAnsi="Arial" w:cs="Arial"/>
          <w:i/>
          <w:iCs/>
          <w:sz w:val="16"/>
          <w:szCs w:val="16"/>
          <w:vertAlign w:val="subscript"/>
        </w:rPr>
        <w:tab/>
        <w:t>Association des Agences Conseils en</w:t>
      </w:r>
      <w:r>
        <w:rPr>
          <w:rFonts w:ascii="Arial" w:hAnsi="Arial" w:cs="Arial"/>
          <w:sz w:val="16"/>
          <w:szCs w:val="16"/>
          <w:vertAlign w:val="subscript"/>
        </w:rPr>
        <w:t xml:space="preserve"> </w:t>
      </w:r>
      <w:r>
        <w:rPr>
          <w:rFonts w:ascii="Arial" w:eastAsia="Arial" w:hAnsi="Arial" w:cs="Arial"/>
          <w:i/>
          <w:iCs/>
          <w:sz w:val="16"/>
          <w:szCs w:val="16"/>
          <w:vertAlign w:val="subscript"/>
        </w:rPr>
        <w:t xml:space="preserve">Communication (AACC), </w:t>
      </w:r>
      <w:r>
        <w:rPr>
          <w:rFonts w:ascii="Arial" w:eastAsia="Arial" w:hAnsi="Arial" w:cs="Arial"/>
          <w:i/>
          <w:iCs/>
          <w:sz w:val="16"/>
          <w:szCs w:val="16"/>
          <w:vertAlign w:val="subscript"/>
        </w:rPr>
        <w:t>Stowarzyszenie Komunikacji Marketingowej/Ad Artis Art Foundation (SAR), and Asociace Komunikacnich Agentur (AKA); the Interactive Advertising Bureau (IAB Europe), Kreativitet &amp; Kommunikation, and Goldbach Audience (Switzerland) AG.</w:t>
      </w:r>
    </w:p>
  </w:footnote>
  <w:footnote w:id="37">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Code of Practice on disinformation: Commission welcomes new prospective signatories </w:t>
      </w:r>
      <w:r>
        <w:rPr>
          <w:rFonts w:ascii="Arial" w:hAnsi="Arial" w:cs="Arial"/>
          <w:sz w:val="16"/>
          <w:szCs w:val="16"/>
          <w:vertAlign w:val="subscript"/>
        </w:rPr>
        <w:t xml:space="preserve">and calls for strong and timely revision, 1 October 2021, </w:t>
      </w:r>
      <w:hyperlink r:id="rId24" w:history="1">
        <w:r>
          <w:rPr>
            <w:rStyle w:val="Hyperlink"/>
            <w:rFonts w:ascii="Arial" w:hAnsi="Arial" w:cs="Arial"/>
            <w:sz w:val="16"/>
            <w:szCs w:val="16"/>
            <w:vertAlign w:val="subscript"/>
          </w:rPr>
          <w:t>https://ec.europa.eu/commission/presscorner/detail/en/IP_21_4945</w:t>
        </w:r>
      </w:hyperlink>
    </w:p>
  </w:footnote>
  <w:footnote w:id="38">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Disinformation: EU assesses the Code of Practice and publishes platform reports on coronavirus related disinformation, 10 September 2020, </w:t>
      </w:r>
      <w:hyperlink r:id="rId25" w:history="1">
        <w:r>
          <w:rPr>
            <w:rStyle w:val="Hyperlink"/>
            <w:rFonts w:ascii="Arial" w:hAnsi="Arial" w:cs="Arial"/>
            <w:sz w:val="16"/>
            <w:szCs w:val="16"/>
            <w:vertAlign w:val="subscript"/>
          </w:rPr>
          <w:t>https://ec.europa.eu/commission/presscorner/detail/en/ip_20_1568</w:t>
        </w:r>
      </w:hyperlink>
    </w:p>
  </w:footnote>
  <w:footnote w:id="39">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Code of Practice on disinformation: Commission welcomes new prospective signatories and calls for strong and timely revision, 1 October 2021, </w:t>
      </w:r>
      <w:hyperlink r:id="rId26" w:history="1">
        <w:r>
          <w:rPr>
            <w:rStyle w:val="Hyperlink"/>
            <w:rFonts w:ascii="Arial" w:hAnsi="Arial" w:cs="Arial"/>
            <w:sz w:val="16"/>
            <w:szCs w:val="16"/>
            <w:vertAlign w:val="subscript"/>
          </w:rPr>
          <w:t>ht</w:t>
        </w:r>
        <w:r>
          <w:rPr>
            <w:rStyle w:val="Hyperlink"/>
            <w:rFonts w:ascii="Arial" w:hAnsi="Arial" w:cs="Arial"/>
            <w:sz w:val="16"/>
            <w:szCs w:val="16"/>
            <w:vertAlign w:val="subscript"/>
          </w:rPr>
          <w:t>tps://ec.europa.eu/commission/presscorner/detail/en/IP_21_4945</w:t>
        </w:r>
      </w:hyperlink>
    </w:p>
  </w:footnote>
  <w:footnote w:id="40">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w:t>
      </w:r>
      <w:r>
        <w:rPr>
          <w:rFonts w:ascii="Arial" w:hAnsi="Arial" w:cs="Arial"/>
          <w:sz w:val="16"/>
          <w:szCs w:val="16"/>
          <w:vertAlign w:val="subscript"/>
        </w:rPr>
        <w:t xml:space="preserve">n Commission, Assessment of the Code of Practice on Disinformation - Achievements and areas for further improvement, 10 September 2020, </w:t>
      </w:r>
      <w:hyperlink r:id="rId27" w:history="1">
        <w:r>
          <w:rPr>
            <w:rStyle w:val="Hyperlink"/>
            <w:rFonts w:ascii="Arial" w:hAnsi="Arial" w:cs="Arial"/>
            <w:sz w:val="16"/>
            <w:szCs w:val="16"/>
            <w:vertAlign w:val="subscript"/>
          </w:rPr>
          <w:t>https://digital-strategy.ec.europa.eu/en/library/assessment-code-practice-disinformation-achievements-and-areas-further-improvement</w:t>
        </w:r>
      </w:hyperlink>
    </w:p>
  </w:footnote>
  <w:footnote w:id="41">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w:t>
      </w:r>
      <w:r>
        <w:rPr>
          <w:rFonts w:ascii="Arial" w:hAnsi="Arial" w:cs="Arial"/>
          <w:sz w:val="16"/>
          <w:szCs w:val="16"/>
          <w:vertAlign w:val="subscript"/>
        </w:rPr>
        <w:t xml:space="preserve">ean Commission, First baseline reports - Fighting COVID-19 disinformation Monitoring Programme, 10 September 2020, </w:t>
      </w:r>
      <w:hyperlink r:id="rId28" w:history="1">
        <w:r>
          <w:rPr>
            <w:rStyle w:val="Hyperlink"/>
            <w:rFonts w:ascii="Arial" w:hAnsi="Arial" w:cs="Arial"/>
            <w:sz w:val="16"/>
            <w:szCs w:val="16"/>
            <w:vertAlign w:val="subscript"/>
          </w:rPr>
          <w:t>https://digital-strategy.ec.europa.eu/en/library/first-baseline-reports-fighting-covid-19-disinformation-monitoring-programme</w:t>
        </w:r>
      </w:hyperlink>
    </w:p>
  </w:footnote>
  <w:footnote w:id="42">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Code of Practice on disinformation: Commission welcomes new prospective signatories and calls for strong and timely revision, 1 October 2021, </w:t>
      </w:r>
      <w:hyperlink r:id="rId29" w:history="1">
        <w:r>
          <w:rPr>
            <w:rStyle w:val="Hyperlink"/>
            <w:rFonts w:ascii="Arial" w:hAnsi="Arial" w:cs="Arial"/>
            <w:sz w:val="16"/>
            <w:szCs w:val="16"/>
            <w:vertAlign w:val="subscript"/>
          </w:rPr>
          <w:t>https://ec.europa.eu/commission/presscorner/detail/en/IP_21_4945</w:t>
        </w:r>
      </w:hyperlink>
    </w:p>
  </w:footnote>
  <w:footnote w:id="43">
    <w:p w:rsidR="00090571" w:rsidRDefault="00851FB1">
      <w:pPr>
        <w:pStyle w:val="FootnoteText"/>
      </w:pPr>
      <w:r w:rsidRPr="00090571">
        <w:rPr>
          <w:rStyle w:val="FootnoteReference"/>
        </w:rPr>
        <w:footnoteRef/>
      </w:r>
      <w:r>
        <w:rPr>
          <w:rFonts w:ascii="Arial" w:hAnsi="Arial" w:cs="Arial"/>
          <w:sz w:val="16"/>
          <w:szCs w:val="16"/>
          <w:vertAlign w:val="subscript"/>
        </w:rPr>
        <w:t xml:space="preserve"> European Commission, Code of Practice on Disinformation, 1 October 2021, </w:t>
      </w:r>
      <w:hyperlink r:id="rId30" w:history="1">
        <w:r>
          <w:rPr>
            <w:rStyle w:val="Hyperlink"/>
            <w:rFonts w:ascii="Arial" w:hAnsi="Arial" w:cs="Arial"/>
            <w:sz w:val="16"/>
            <w:szCs w:val="16"/>
            <w:vertAlign w:val="subscript"/>
          </w:rPr>
          <w:t>https://digital-strategy.ec.europa.eu/en/policies/code-practice-disinformation</w:t>
        </w:r>
      </w:hyperlink>
    </w:p>
  </w:footnote>
  <w:footnote w:id="44">
    <w:p w:rsidR="00090571" w:rsidRDefault="00851FB1">
      <w:pPr>
        <w:pStyle w:val="FootnoteText"/>
      </w:pPr>
      <w:r w:rsidRPr="00090571">
        <w:rPr>
          <w:rStyle w:val="FootnoteReference"/>
        </w:rPr>
        <w:footnoteRef/>
      </w:r>
      <w:r>
        <w:rPr>
          <w:rFonts w:ascii="Arial" w:hAnsi="Arial" w:cs="Arial"/>
          <w:sz w:val="16"/>
          <w:szCs w:val="16"/>
          <w:vertAlign w:val="subscript"/>
        </w:rPr>
        <w:t xml:space="preserve"> Trisha Meyer, Alexandre Alaphilippe, and Claire Pershan</w:t>
      </w:r>
      <w:r>
        <w:rPr>
          <w:rFonts w:ascii="Arial" w:hAnsi="Arial" w:cs="Arial"/>
          <w:sz w:val="16"/>
          <w:szCs w:val="16"/>
          <w:vertAlign w:val="subscript"/>
        </w:rPr>
        <w:t xml:space="preserve">, The good, the bad and the ugly: how platforms are prioritising some EU member states in their COVID-19 disinformation responses, 28 April 2021, </w:t>
      </w:r>
      <w:hyperlink r:id="rId31" w:history="1">
        <w:r>
          <w:rPr>
            <w:rStyle w:val="Hyperlink"/>
            <w:rFonts w:ascii="Arial" w:hAnsi="Arial" w:cs="Arial"/>
            <w:sz w:val="16"/>
            <w:szCs w:val="16"/>
            <w:vertAlign w:val="subscript"/>
          </w:rPr>
          <w:t>https://www.disinfo.eu/publications/the-good-the-bad-and-the-ugly-how-platforms-are-prioritising-some-eu-member-states-in-their-covid-19-disinformation-responses/</w:t>
        </w:r>
      </w:hyperlink>
    </w:p>
  </w:footnote>
  <w:footnote w:id="45">
    <w:p w:rsidR="00090571" w:rsidRDefault="00851FB1">
      <w:pPr>
        <w:pStyle w:val="FootnoteText"/>
      </w:pPr>
      <w:r w:rsidRPr="00090571">
        <w:rPr>
          <w:rStyle w:val="FootnoteReference"/>
        </w:rPr>
        <w:footnoteRef/>
      </w:r>
      <w:r>
        <w:rPr>
          <w:rFonts w:ascii="Arial" w:hAnsi="Arial" w:cs="Arial"/>
          <w:sz w:val="16"/>
          <w:szCs w:val="16"/>
          <w:vertAlign w:val="subscript"/>
        </w:rPr>
        <w:t xml:space="preserve"> Luca Bertuzzi and Molly Killeen, "Commission pushes for </w:t>
      </w:r>
      <w:r>
        <w:rPr>
          <w:rFonts w:ascii="Arial" w:hAnsi="Arial" w:cs="Arial"/>
          <w:sz w:val="16"/>
          <w:szCs w:val="16"/>
          <w:vertAlign w:val="subscript"/>
        </w:rPr>
        <w:t xml:space="preserve">'timely' update of disinformation code of practice," Euractiv, 1 October 2021, </w:t>
      </w:r>
      <w:hyperlink r:id="rId32" w:history="1">
        <w:r>
          <w:rPr>
            <w:rStyle w:val="Hyperlink"/>
            <w:rFonts w:ascii="Arial" w:hAnsi="Arial" w:cs="Arial"/>
            <w:sz w:val="16"/>
            <w:szCs w:val="16"/>
            <w:vertAlign w:val="subscript"/>
          </w:rPr>
          <w:t>https://www.euractiv.com/section/digital/n</w:t>
        </w:r>
        <w:r>
          <w:rPr>
            <w:rStyle w:val="Hyperlink"/>
            <w:rFonts w:ascii="Arial" w:hAnsi="Arial" w:cs="Arial"/>
            <w:sz w:val="16"/>
            <w:szCs w:val="16"/>
            <w:vertAlign w:val="subscript"/>
          </w:rPr>
          <w:t>ews/commission-pushes-for-timely-update-of-disinformation-code-of-practice/</w:t>
        </w:r>
      </w:hyperlink>
    </w:p>
  </w:footnote>
  <w:footnote w:id="46">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47">
    <w:p w:rsidR="00090571" w:rsidRDefault="00851FB1">
      <w:pPr>
        <w:pStyle w:val="FootnoteText"/>
      </w:pPr>
      <w:r w:rsidRPr="00090571">
        <w:rPr>
          <w:rStyle w:val="FootnoteReference"/>
        </w:rPr>
        <w:footnoteRef/>
      </w:r>
      <w:r>
        <w:rPr>
          <w:rFonts w:ascii="Arial" w:hAnsi="Arial" w:cs="Arial"/>
          <w:i/>
          <w:sz w:val="16"/>
          <w:szCs w:val="16"/>
          <w:vertAlign w:val="subscript"/>
        </w:rPr>
        <w:t xml:space="preserve"> European Commission, Action Plan against Disinformation, 5 December 2018, </w:t>
      </w:r>
      <w:hyperlink r:id="rId33" w:history="1">
        <w:r>
          <w:rPr>
            <w:rStyle w:val="Hyperlink"/>
            <w:rFonts w:ascii="Arial" w:hAnsi="Arial" w:cs="Arial"/>
            <w:i/>
            <w:sz w:val="16"/>
            <w:szCs w:val="16"/>
            <w:vertAlign w:val="subscript"/>
          </w:rPr>
          <w:t>https://digital-</w:t>
        </w:r>
        <w:r>
          <w:rPr>
            <w:rStyle w:val="Hyperlink"/>
            <w:rFonts w:ascii="Arial" w:hAnsi="Arial" w:cs="Arial"/>
            <w:i/>
            <w:sz w:val="16"/>
            <w:szCs w:val="16"/>
            <w:vertAlign w:val="subscript"/>
          </w:rPr>
          <w:t>strategy.ec.europa.eu/en/library/action-plan-against-disinformation</w:t>
        </w:r>
      </w:hyperlink>
    </w:p>
  </w:footnote>
  <w:footnote w:id="48">
    <w:p w:rsidR="00090571" w:rsidRDefault="00851FB1">
      <w:pPr>
        <w:pStyle w:val="FootnoteText"/>
      </w:pPr>
      <w:r w:rsidRPr="00090571">
        <w:rPr>
          <w:rStyle w:val="FootnoteReference"/>
        </w:rPr>
        <w:footnoteRef/>
      </w:r>
      <w:r>
        <w:rPr>
          <w:rFonts w:ascii="Arial" w:hAnsi="Arial" w:cs="Arial"/>
          <w:i/>
          <w:sz w:val="16"/>
          <w:szCs w:val="16"/>
          <w:vertAlign w:val="subscript"/>
        </w:rPr>
        <w:t xml:space="preserve"> European Co</w:t>
      </w:r>
      <w:r>
        <w:rPr>
          <w:rFonts w:ascii="Arial" w:hAnsi="Arial" w:cs="Arial"/>
          <w:i/>
          <w:sz w:val="16"/>
          <w:szCs w:val="16"/>
          <w:vertAlign w:val="subscript"/>
        </w:rPr>
        <w:t xml:space="preserve">mmission, European Digital Media Observatory (EDMO), 22 September 2021, </w:t>
      </w:r>
      <w:hyperlink r:id="rId34" w:history="1">
        <w:r>
          <w:rPr>
            <w:rStyle w:val="Hyperlink"/>
            <w:rFonts w:ascii="Arial" w:hAnsi="Arial" w:cs="Arial"/>
            <w:i/>
            <w:sz w:val="16"/>
            <w:szCs w:val="16"/>
            <w:vertAlign w:val="subscript"/>
          </w:rPr>
          <w:t>https://digital-strategy.ec.europa.eu/en/policies/european-digital-media-observato</w:t>
        </w:r>
        <w:r>
          <w:rPr>
            <w:rStyle w:val="Hyperlink"/>
            <w:rFonts w:ascii="Arial" w:hAnsi="Arial" w:cs="Arial"/>
            <w:i/>
            <w:sz w:val="16"/>
            <w:szCs w:val="16"/>
            <w:vertAlign w:val="subscript"/>
          </w:rPr>
          <w:t>ry</w:t>
        </w:r>
      </w:hyperlink>
    </w:p>
  </w:footnote>
  <w:footnote w:id="49">
    <w:p w:rsidR="00090571" w:rsidRDefault="00851FB1">
      <w:pPr>
        <w:pStyle w:val="FootnoteText"/>
      </w:pPr>
      <w:r w:rsidRPr="00090571">
        <w:rPr>
          <w:rStyle w:val="FootnoteReference"/>
        </w:rPr>
        <w:footnoteRef/>
      </w:r>
      <w:r>
        <w:rPr>
          <w:rFonts w:ascii="Arial" w:hAnsi="Arial" w:cs="Arial"/>
          <w:i/>
          <w:sz w:val="16"/>
          <w:szCs w:val="16"/>
          <w:vertAlign w:val="subscript"/>
        </w:rPr>
        <w:t xml:space="preserve"> EDMO, United against disinformation, 2020, </w:t>
      </w:r>
      <w:hyperlink r:id="rId35" w:history="1">
        <w:r>
          <w:rPr>
            <w:rStyle w:val="Hyperlink"/>
            <w:rFonts w:ascii="Arial" w:hAnsi="Arial" w:cs="Arial"/>
            <w:i/>
            <w:sz w:val="16"/>
            <w:szCs w:val="16"/>
            <w:vertAlign w:val="subscript"/>
          </w:rPr>
          <w:t>https://edmo.eu/</w:t>
        </w:r>
      </w:hyperlink>
      <w:r>
        <w:rPr>
          <w:rFonts w:ascii="Arial" w:hAnsi="Arial" w:cs="Arial"/>
          <w:i/>
          <w:sz w:val="16"/>
          <w:szCs w:val="16"/>
          <w:vertAlign w:val="subscript"/>
        </w:rPr>
        <w:t>.</w:t>
      </w:r>
    </w:p>
  </w:footnote>
  <w:footnote w:id="50">
    <w:p w:rsidR="00090571" w:rsidRDefault="00851FB1">
      <w:pPr>
        <w:pStyle w:val="FootnoteText"/>
      </w:pPr>
      <w:r w:rsidRPr="00090571">
        <w:rPr>
          <w:rStyle w:val="FootnoteReference"/>
        </w:rPr>
        <w:footnoteRef/>
      </w:r>
      <w:r>
        <w:rPr>
          <w:rFonts w:ascii="Arial" w:hAnsi="Arial" w:cs="Arial"/>
          <w:i/>
          <w:sz w:val="16"/>
          <w:szCs w:val="16"/>
          <w:vertAlign w:val="subscript"/>
        </w:rPr>
        <w:t xml:space="preserve"> Ibid.</w:t>
      </w:r>
    </w:p>
  </w:footnote>
  <w:footnote w:id="51">
    <w:p w:rsidR="00090571" w:rsidRDefault="00851FB1">
      <w:pPr>
        <w:pStyle w:val="FootnoteText"/>
      </w:pPr>
      <w:r w:rsidRPr="00090571">
        <w:rPr>
          <w:rStyle w:val="FootnoteReference"/>
        </w:rPr>
        <w:footnoteRef/>
      </w:r>
      <w:r>
        <w:rPr>
          <w:rFonts w:ascii="Arial" w:hAnsi="Arial" w:cs="Arial"/>
          <w:i/>
          <w:sz w:val="14"/>
          <w:szCs w:val="14"/>
        </w:rPr>
        <w:t xml:space="preserve"> </w:t>
      </w:r>
      <w:r>
        <w:rPr>
          <w:rFonts w:ascii="Arial" w:hAnsi="Arial" w:cs="Arial"/>
          <w:i/>
          <w:sz w:val="16"/>
          <w:szCs w:val="16"/>
          <w:vertAlign w:val="subscript"/>
        </w:rPr>
        <w:t xml:space="preserve">Bunesministerium der Justiz und fur Verbraucherschutz, FAQ: Act to Improve </w:t>
      </w:r>
      <w:r>
        <w:rPr>
          <w:rFonts w:ascii="Arial" w:hAnsi="Arial" w:cs="Arial"/>
          <w:i/>
          <w:sz w:val="16"/>
          <w:szCs w:val="16"/>
          <w:vertAlign w:val="subscript"/>
        </w:rPr>
        <w:t xml:space="preserve">Enforcement of the Law in Social Networks, 2017, </w:t>
      </w:r>
      <w:hyperlink r:id="rId36" w:history="1">
        <w:r>
          <w:rPr>
            <w:rStyle w:val="Hyperlink"/>
            <w:i/>
            <w:sz w:val="16"/>
            <w:szCs w:val="16"/>
            <w:vertAlign w:val="subscript"/>
          </w:rPr>
          <w:t>https://www.bmjv.de/SharedDocs/FAQ/EN/NetzDG/NetzDG.html</w:t>
        </w:r>
      </w:hyperlink>
      <w:r>
        <w:rPr>
          <w:rFonts w:ascii="Arial" w:hAnsi="Arial" w:cs="Arial"/>
          <w:i/>
          <w:sz w:val="16"/>
          <w:szCs w:val="16"/>
          <w:vertAlign w:val="subscript"/>
        </w:rPr>
        <w:t>.</w:t>
      </w:r>
    </w:p>
  </w:footnote>
  <w:footnote w:id="52">
    <w:p w:rsidR="00090571" w:rsidRDefault="00851FB1">
      <w:pPr>
        <w:pStyle w:val="FootnoteText"/>
      </w:pPr>
      <w:r w:rsidRPr="00090571">
        <w:rPr>
          <w:rStyle w:val="FootnoteReference"/>
        </w:rPr>
        <w:footnoteRef/>
      </w:r>
      <w:r>
        <w:rPr>
          <w:rFonts w:ascii="Arial" w:hAnsi="Arial" w:cs="Arial"/>
          <w:i/>
          <w:sz w:val="14"/>
          <w:szCs w:val="14"/>
        </w:rPr>
        <w:t xml:space="preserve"> </w:t>
      </w:r>
      <w:r>
        <w:rPr>
          <w:rFonts w:ascii="Arial" w:hAnsi="Arial" w:cs="Arial"/>
          <w:iCs/>
          <w:sz w:val="16"/>
          <w:szCs w:val="16"/>
          <w:vertAlign w:val="subscript"/>
        </w:rPr>
        <w:t>Human Rights Watch, Germ</w:t>
      </w:r>
      <w:r>
        <w:rPr>
          <w:rFonts w:ascii="Arial" w:hAnsi="Arial" w:cs="Arial"/>
          <w:iCs/>
          <w:sz w:val="16"/>
          <w:szCs w:val="16"/>
          <w:vertAlign w:val="subscript"/>
        </w:rPr>
        <w:t xml:space="preserve">any: Flawed Social Media Law: NetzDG is Wrong Response to Online Abuse, 14 February 2018, </w:t>
      </w:r>
      <w:hyperlink r:id="rId37" w:history="1">
        <w:r>
          <w:rPr>
            <w:rStyle w:val="Hyperlink"/>
            <w:rFonts w:ascii="Arial" w:hAnsi="Arial" w:cs="Arial"/>
            <w:iCs/>
            <w:sz w:val="16"/>
            <w:szCs w:val="16"/>
            <w:vertAlign w:val="subscript"/>
          </w:rPr>
          <w:t>https://www.hrw.org/news/2018/02/14/germany-flawed-social-media-law</w:t>
        </w:r>
      </w:hyperlink>
      <w:r>
        <w:rPr>
          <w:rFonts w:ascii="Arial" w:hAnsi="Arial" w:cs="Arial"/>
          <w:iCs/>
          <w:sz w:val="16"/>
          <w:szCs w:val="16"/>
          <w:vertAlign w:val="subscript"/>
        </w:rPr>
        <w:t>.</w:t>
      </w:r>
    </w:p>
  </w:footnote>
  <w:footnote w:id="53">
    <w:p w:rsidR="00090571" w:rsidRDefault="00851FB1">
      <w:pPr>
        <w:pStyle w:val="FootnoteText"/>
      </w:pPr>
      <w:r w:rsidRPr="00090571">
        <w:rPr>
          <w:rStyle w:val="FootnoteReference"/>
        </w:rPr>
        <w:footnoteRef/>
      </w:r>
      <w:r>
        <w:rPr>
          <w:rFonts w:ascii="Arial" w:hAnsi="Arial" w:cs="Arial"/>
          <w:iCs/>
          <w:sz w:val="16"/>
          <w:szCs w:val="16"/>
          <w:vertAlign w:val="subscript"/>
        </w:rPr>
        <w:t xml:space="preserve"> Ibid.</w:t>
      </w:r>
    </w:p>
  </w:footnote>
  <w:footnote w:id="54">
    <w:p w:rsidR="00090571" w:rsidRDefault="00851FB1">
      <w:pPr>
        <w:pStyle w:val="FootnoteText"/>
      </w:pPr>
      <w:r w:rsidRPr="00090571">
        <w:rPr>
          <w:rStyle w:val="FootnoteReference"/>
        </w:rPr>
        <w:footnoteRef/>
      </w:r>
      <w:r>
        <w:rPr>
          <w:rFonts w:ascii="Arial" w:hAnsi="Arial" w:cs="Arial"/>
          <w:sz w:val="14"/>
          <w:szCs w:val="14"/>
        </w:rPr>
        <w:t xml:space="preserve"> </w:t>
      </w:r>
      <w:r>
        <w:rPr>
          <w:rFonts w:ascii="Arial" w:hAnsi="Arial" w:cs="Arial"/>
          <w:sz w:val="16"/>
          <w:szCs w:val="16"/>
          <w:vertAlign w:val="subscript"/>
        </w:rPr>
        <w:t xml:space="preserve">Natasha Lomas, "Germany tightens online hate speech rules to make platforms send reports straight to the feds," Techcrunch, 19 June 2020, </w:t>
      </w:r>
      <w:hyperlink r:id="rId38" w:history="1">
        <w:r>
          <w:rPr>
            <w:rStyle w:val="Hyperlink"/>
            <w:rFonts w:ascii="Arial" w:hAnsi="Arial" w:cs="Arial"/>
            <w:sz w:val="16"/>
            <w:szCs w:val="16"/>
            <w:vertAlign w:val="subscript"/>
          </w:rPr>
          <w:t>https://techcrunch.com/2020/06/19/germany-tightens-online-hate-speech-rules-to-make-platforms-send-reports-strai</w:t>
        </w:r>
        <w:r>
          <w:rPr>
            <w:rStyle w:val="Hyperlink"/>
            <w:rFonts w:ascii="Arial" w:hAnsi="Arial" w:cs="Arial"/>
            <w:sz w:val="16"/>
            <w:szCs w:val="16"/>
            <w:vertAlign w:val="subscript"/>
          </w:rPr>
          <w:t>ght-to-the-feds/</w:t>
        </w:r>
      </w:hyperlink>
    </w:p>
  </w:footnote>
  <w:footnote w:id="55">
    <w:p w:rsidR="00090571" w:rsidRDefault="00851FB1">
      <w:pPr>
        <w:pStyle w:val="FootnoteText"/>
      </w:pPr>
      <w:r w:rsidRPr="00090571">
        <w:rPr>
          <w:rStyle w:val="FootnoteReference"/>
        </w:rPr>
        <w:footnoteRef/>
      </w:r>
      <w:r>
        <w:rPr>
          <w:rFonts w:ascii="Arial" w:hAnsi="Arial" w:cs="Arial"/>
          <w:sz w:val="16"/>
          <w:szCs w:val="16"/>
          <w:vertAlign w:val="subscript"/>
        </w:rPr>
        <w:t xml:space="preserve"> The Act to Amend the Network Enforcement Act (2021) is available at: </w:t>
      </w:r>
      <w:hyperlink r:id="rId39" w:history="1">
        <w:r>
          <w:rPr>
            <w:rStyle w:val="Hyperlink"/>
            <w:rFonts w:ascii="Arial" w:hAnsi="Arial" w:cs="Arial"/>
            <w:sz w:val="16"/>
            <w:szCs w:val="16"/>
            <w:vertAlign w:val="subscript"/>
          </w:rPr>
          <w:t>https://perma.cc/9W8E-GSWM</w:t>
        </w:r>
      </w:hyperlink>
    </w:p>
  </w:footnote>
  <w:footnote w:id="56">
    <w:p w:rsidR="00090571" w:rsidRDefault="00851FB1">
      <w:pPr>
        <w:pStyle w:val="FootnoteText"/>
      </w:pPr>
      <w:r w:rsidRPr="00090571">
        <w:rPr>
          <w:rStyle w:val="FootnoteReference"/>
        </w:rPr>
        <w:footnoteRef/>
      </w:r>
      <w:r>
        <w:rPr>
          <w:rFonts w:ascii="Arial" w:hAnsi="Arial" w:cs="Arial"/>
          <w:sz w:val="16"/>
          <w:szCs w:val="16"/>
          <w:vertAlign w:val="subscript"/>
        </w:rPr>
        <w:t xml:space="preserve"> Jenny Gesley, "Germany: Network Enforcement Act Amended to Better Fight Online Hate Speech," Library of Congress, 2021, </w:t>
      </w:r>
      <w:hyperlink r:id="rId40" w:history="1">
        <w:r>
          <w:rPr>
            <w:rStyle w:val="Hyperlink"/>
            <w:rFonts w:ascii="Arial" w:hAnsi="Arial" w:cs="Arial"/>
            <w:sz w:val="16"/>
            <w:szCs w:val="16"/>
            <w:vertAlign w:val="subscript"/>
          </w:rPr>
          <w:t>https://www.loc.gov/item/global-legal-monitor/2021-07-06/germany-network-enforcement-act-amended-to-better-fight-online-hate-speech/</w:t>
        </w:r>
      </w:hyperlink>
    </w:p>
  </w:footnote>
  <w:footnote w:id="57">
    <w:p w:rsidR="00090571" w:rsidRDefault="00851FB1">
      <w:pPr>
        <w:pStyle w:val="FootnoteText"/>
      </w:pPr>
      <w:r w:rsidRPr="00090571">
        <w:rPr>
          <w:rStyle w:val="FootnoteReference"/>
        </w:rPr>
        <w:footnoteRef/>
      </w:r>
      <w:r>
        <w:rPr>
          <w:rFonts w:ascii="Arial" w:hAnsi="Arial" w:cs="Arial"/>
          <w:sz w:val="14"/>
          <w:szCs w:val="14"/>
        </w:rPr>
        <w:t xml:space="preserve"> Ibid.</w:t>
      </w:r>
    </w:p>
  </w:footnote>
  <w:footnote w:id="58">
    <w:p w:rsidR="00090571" w:rsidRDefault="00851FB1">
      <w:pPr>
        <w:pStyle w:val="FootnoteText"/>
      </w:pPr>
      <w:r w:rsidRPr="00090571">
        <w:rPr>
          <w:rStyle w:val="FootnoteReference"/>
        </w:rPr>
        <w:footnoteRef/>
      </w:r>
      <w:r>
        <w:rPr>
          <w:rFonts w:ascii="Arial" w:hAnsi="Arial" w:cs="Arial"/>
          <w:sz w:val="14"/>
          <w:szCs w:val="14"/>
        </w:rPr>
        <w:t xml:space="preserve"> Judit Bayer, Germany: New law against right-wing extremism and hate crime, 24 April 2021, </w:t>
      </w:r>
      <w:hyperlink r:id="rId41" w:history="1">
        <w:r>
          <w:rPr>
            <w:rStyle w:val="Hyperlink"/>
            <w:sz w:val="14"/>
            <w:szCs w:val="14"/>
          </w:rPr>
          <w:t>https://inforrm.org/2021/04/</w:t>
        </w:r>
        <w:r>
          <w:rPr>
            <w:rStyle w:val="Hyperlink"/>
            <w:sz w:val="14"/>
            <w:szCs w:val="14"/>
          </w:rPr>
          <w:t>24/germany-new-law-against-right-wing-extremism-and-hate-crime-judit-bayer/</w:t>
        </w:r>
      </w:hyperlink>
    </w:p>
  </w:footnote>
  <w:footnote w:id="59">
    <w:p w:rsidR="00090571" w:rsidRDefault="00851FB1">
      <w:pPr>
        <w:pStyle w:val="FootnoteText"/>
      </w:pPr>
      <w:r w:rsidRPr="00090571">
        <w:rPr>
          <w:rStyle w:val="FootnoteReference"/>
        </w:rPr>
        <w:footnoteRef/>
      </w:r>
      <w:r>
        <w:rPr>
          <w:rFonts w:ascii="Arial" w:hAnsi="Arial" w:cs="Arial"/>
          <w:sz w:val="14"/>
          <w:szCs w:val="14"/>
        </w:rPr>
        <w:t xml:space="preserve"> Ibid.</w:t>
      </w:r>
    </w:p>
  </w:footnote>
  <w:footnote w:id="60">
    <w:p w:rsidR="00090571" w:rsidRDefault="00851FB1">
      <w:pPr>
        <w:pStyle w:val="FootnoteText"/>
      </w:pPr>
      <w:r w:rsidRPr="00090571">
        <w:rPr>
          <w:rStyle w:val="FootnoteReference"/>
        </w:rPr>
        <w:footnoteRef/>
      </w:r>
      <w:r>
        <w:rPr>
          <w:rFonts w:ascii="Arial" w:hAnsi="Arial" w:cs="Arial"/>
          <w:sz w:val="14"/>
          <w:szCs w:val="14"/>
        </w:rPr>
        <w:t xml:space="preserve"> Ibid.</w:t>
      </w:r>
    </w:p>
  </w:footnote>
  <w:footnote w:id="61">
    <w:p w:rsidR="00090571" w:rsidRDefault="00851FB1">
      <w:pPr>
        <w:pStyle w:val="FootnoteText"/>
      </w:pPr>
      <w:r w:rsidRPr="00090571">
        <w:rPr>
          <w:rStyle w:val="FootnoteReference"/>
        </w:rPr>
        <w:footnoteRef/>
      </w:r>
      <w:r>
        <w:rPr>
          <w:rFonts w:ascii="Arial" w:hAnsi="Arial" w:cs="Arial"/>
          <w:sz w:val="14"/>
          <w:szCs w:val="14"/>
        </w:rPr>
        <w:t xml:space="preserve"> Judit Bayer, Germany: New law against right-wing extremism and hate crime, 24 April 2021, </w:t>
      </w:r>
      <w:hyperlink r:id="rId42" w:history="1">
        <w:r>
          <w:rPr>
            <w:rStyle w:val="Hyperlink"/>
            <w:sz w:val="14"/>
            <w:szCs w:val="14"/>
          </w:rPr>
          <w:t>https://inforrm.org/2021/04/24/germany-new-law-against-right-wing-extremism-and-hate-crime-judit-bayer/</w:t>
        </w:r>
      </w:hyperlink>
    </w:p>
  </w:footnote>
  <w:footnote w:id="62">
    <w:p w:rsidR="00090571" w:rsidRDefault="00851FB1">
      <w:pPr>
        <w:pStyle w:val="FootnoteText"/>
      </w:pPr>
      <w:r w:rsidRPr="00090571">
        <w:rPr>
          <w:rStyle w:val="FootnoteReference"/>
        </w:rPr>
        <w:footnoteRef/>
      </w:r>
      <w:r>
        <w:rPr>
          <w:rFonts w:ascii="Arial" w:hAnsi="Arial" w:cs="Arial"/>
          <w:sz w:val="14"/>
          <w:szCs w:val="14"/>
        </w:rPr>
        <w:t xml:space="preserve"> Ibid.</w:t>
      </w:r>
    </w:p>
  </w:footnote>
  <w:footnote w:id="63">
    <w:p w:rsidR="00090571" w:rsidRDefault="00851FB1">
      <w:pPr>
        <w:pStyle w:val="FootnoteText"/>
      </w:pPr>
      <w:r w:rsidRPr="00090571">
        <w:rPr>
          <w:rStyle w:val="FootnoteReference"/>
        </w:rPr>
        <w:footnoteRef/>
      </w:r>
      <w:r>
        <w:rPr>
          <w:rFonts w:ascii="Arial" w:hAnsi="Arial" w:cs="Arial"/>
          <w:sz w:val="14"/>
          <w:szCs w:val="14"/>
        </w:rPr>
        <w:t xml:space="preserve"> Final text of the law is available on the platform of the European Commission at: </w:t>
      </w:r>
      <w:hyperlink r:id="rId43" w:history="1">
        <w:r>
          <w:rPr>
            <w:rStyle w:val="Hyperlink"/>
            <w:sz w:val="14"/>
            <w:szCs w:val="14"/>
          </w:rPr>
          <w:t>https://ec.europa.eu/growth/tools-databases/tris/index.cfm/en/search/?trisaction=search.detail&amp;year=2020&amp;num=544&amp;mLang=EN</w:t>
        </w:r>
      </w:hyperlink>
    </w:p>
  </w:footnote>
  <w:footnote w:id="64">
    <w:p w:rsidR="00090571" w:rsidRDefault="00851FB1">
      <w:pPr>
        <w:pStyle w:val="FootnoteText"/>
      </w:pPr>
      <w:r w:rsidRPr="00090571">
        <w:rPr>
          <w:rStyle w:val="FootnoteReference"/>
        </w:rPr>
        <w:footnoteRef/>
      </w:r>
      <w:r>
        <w:rPr>
          <w:rFonts w:ascii="Arial" w:hAnsi="Arial" w:cs="Arial"/>
          <w:sz w:val="14"/>
          <w:szCs w:val="14"/>
        </w:rPr>
        <w:t xml:space="preserve"> Gabriela Staber and Angelika Stutz, Communication platforms face new obligations and high fines in Austria, 22 March 2021, </w:t>
      </w:r>
      <w:hyperlink r:id="rId44" w:history="1">
        <w:r>
          <w:rPr>
            <w:rStyle w:val="Hyperlink"/>
            <w:sz w:val="14"/>
            <w:szCs w:val="14"/>
          </w:rPr>
          <w:t>https://www.cms-lawnow.com/ealerts/2021/03/au-test?cc_lang=en</w:t>
        </w:r>
      </w:hyperlink>
    </w:p>
  </w:footnote>
  <w:footnote w:id="65">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66">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67">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68">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69">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70">
    <w:p w:rsidR="00090571" w:rsidRDefault="00851FB1">
      <w:pPr>
        <w:pStyle w:val="FootnoteText"/>
      </w:pPr>
      <w:r w:rsidRPr="00090571">
        <w:rPr>
          <w:rStyle w:val="FootnoteReference"/>
        </w:rPr>
        <w:footnoteRef/>
      </w:r>
      <w:r>
        <w:rPr>
          <w:rFonts w:ascii="Arial" w:hAnsi="Arial" w:cs="Arial"/>
          <w:sz w:val="16"/>
          <w:szCs w:val="16"/>
          <w:vertAlign w:val="subscript"/>
        </w:rPr>
        <w:t xml:space="preserve"> EDRi, First Analysis of the Austrian Anti-Hate Speech Law (NetDG/KoPlG), 10 Septemb</w:t>
      </w:r>
      <w:r>
        <w:rPr>
          <w:rFonts w:ascii="Arial" w:hAnsi="Arial" w:cs="Arial"/>
          <w:sz w:val="16"/>
          <w:szCs w:val="16"/>
          <w:vertAlign w:val="subscript"/>
        </w:rPr>
        <w:t xml:space="preserve">er 2020, </w:t>
      </w:r>
      <w:hyperlink r:id="rId45" w:history="1">
        <w:r>
          <w:rPr>
            <w:rStyle w:val="Hyperlink"/>
            <w:sz w:val="16"/>
            <w:szCs w:val="16"/>
            <w:vertAlign w:val="subscript"/>
          </w:rPr>
          <w:t>https://edri.org/our-work/first-analysis-of-the-austrian-anti-hate-speech-law-netdg-koplg/</w:t>
        </w:r>
      </w:hyperlink>
    </w:p>
  </w:footnote>
  <w:footnote w:id="71">
    <w:p w:rsidR="00090571" w:rsidRDefault="00851FB1">
      <w:pPr>
        <w:pStyle w:val="FootnoteText"/>
      </w:pPr>
      <w:r w:rsidRPr="00090571">
        <w:rPr>
          <w:rStyle w:val="FootnoteReference"/>
        </w:rPr>
        <w:footnoteRef/>
      </w:r>
      <w:r>
        <w:rPr>
          <w:rFonts w:ascii="Arial" w:hAnsi="Arial" w:cs="Arial"/>
          <w:sz w:val="16"/>
          <w:szCs w:val="16"/>
          <w:vertAlign w:val="subscript"/>
        </w:rPr>
        <w:t xml:space="preserve"> Ibid.</w:t>
      </w:r>
    </w:p>
  </w:footnote>
  <w:footnote w:id="72">
    <w:p w:rsidR="00090571" w:rsidRDefault="00851FB1">
      <w:pPr>
        <w:pStyle w:val="FootnoteText"/>
      </w:pPr>
      <w:r w:rsidRPr="00090571">
        <w:rPr>
          <w:rStyle w:val="FootnoteReference"/>
        </w:rPr>
        <w:footnoteRef/>
      </w:r>
      <w:r>
        <w:rPr>
          <w:rFonts w:ascii="Arial" w:hAnsi="Arial" w:cs="Arial"/>
          <w:i/>
          <w:sz w:val="14"/>
          <w:szCs w:val="14"/>
        </w:rPr>
        <w:t xml:space="preserve"> See: </w:t>
      </w:r>
      <w:hyperlink r:id="rId46" w:history="1">
        <w:r>
          <w:rPr>
            <w:rStyle w:val="Hyperlink"/>
            <w:i/>
            <w:sz w:val="14"/>
            <w:szCs w:val="14"/>
          </w:rPr>
          <w:t>https://www.spletno-oko.si/sites/default/files/kodeks_oblikovan_0.pdf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71" w:rsidRDefault="00090571">
    <w:r w:rsidRPr="00962848">
      <w:rPr>
        <w:sz w:val="2"/>
        <w:szCs w:val="2"/>
      </w:rPr>
      <w:pict>
        <v:shapetype id="_x0000_t202" coordsize="21600,21600" o:spt="202" path="m,l,21600r21600,l21600,xe">
          <v:stroke joinstyle="miter"/>
          <v:path gradientshapeok="t" o:connecttype="rect"/>
        </v:shapetype>
        <v:shape id="Text Box 1" o:spid="_x0000_s1025" type="#_x0000_t202" style="position:absolute;margin-left:334.65pt;margin-top:146.6pt;width:0;height:27.3pt;z-index:251660288;visibility:visible;mso-wrap-style:none;mso-position-horizontal-relative:page" filled="f" stroked="f">
          <v:textbox style="mso-rotate-with-shape:t;mso-fit-shape-to-text:t" inset="0,0,0,0">
            <w:txbxContent>
              <w:p w:rsidR="00090571" w:rsidRDefault="00090571">
                <w:pPr>
                  <w:pStyle w:val="Headerorfooter0"/>
                  <w:shd w:val="clear" w:color="auto" w:fill="auto"/>
                  <w:spacing w:line="192" w:lineRule="exact"/>
                  <w:jc w:val="right"/>
                </w:pPr>
                <w:bookmarkStart w:id="0" w:name="bookmark13"/>
                <w:r>
                  <w:rPr>
                    <w:rStyle w:val="HeaderorfooterArial"/>
                  </w:rPr>
                  <w:t>REGULATORY AND SELF-REGULATORY FRAMEWORKS AGAINST HATE</w:t>
                </w:r>
                <w:bookmarkEnd w:id="0"/>
              </w:p>
              <w:p w:rsidR="00090571" w:rsidRDefault="00090571">
                <w:pPr>
                  <w:pStyle w:val="Headerorfooter0"/>
                  <w:shd w:val="clear" w:color="auto" w:fill="auto"/>
                  <w:spacing w:line="192" w:lineRule="exact"/>
                  <w:jc w:val="right"/>
                </w:pPr>
                <w:r>
                  <w:rPr>
                    <w:rStyle w:val="HeaderorfooterArial"/>
                  </w:rPr>
                  <w:t>SPEECH AND DISINFORMATION IN THE EUROPEAN UNION</w:t>
                </w:r>
              </w:p>
              <w:p w:rsidR="00090571" w:rsidRDefault="00090571">
                <w:pPr>
                  <w:pStyle w:val="Headerorfooter0"/>
                  <w:shd w:val="clear" w:color="auto" w:fill="auto"/>
                  <w:spacing w:line="192" w:lineRule="exact"/>
                  <w:jc w:val="right"/>
                </w:pPr>
                <w:r>
                  <w:rPr>
                    <w:rStyle w:val="HeaderorfooterArial"/>
                  </w:rPr>
                  <w:t>- EXAMPLES AND CHALLENGES</w:t>
                </w:r>
              </w:p>
            </w:txbxContent>
          </v:textbox>
          <w10:wrap type="topAndBottom"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3566"/>
    <w:multiLevelType w:val="multilevel"/>
    <w:tmpl w:val="99F0FEDE"/>
    <w:lvl w:ilvl="0">
      <w:numFmt w:val="bullet"/>
      <w:lvlText w:val="-"/>
      <w:lvlJc w:val="left"/>
      <w:pPr>
        <w:ind w:left="380" w:hanging="360"/>
      </w:pPr>
      <w:rPr>
        <w:rFonts w:ascii="Arial" w:eastAsia="Arial" w:hAnsi="Arial" w:cs="Arial"/>
      </w:rPr>
    </w:lvl>
    <w:lvl w:ilvl="1">
      <w:numFmt w:val="bullet"/>
      <w:lvlText w:val="o"/>
      <w:lvlJc w:val="left"/>
      <w:pPr>
        <w:ind w:left="1100" w:hanging="360"/>
      </w:pPr>
      <w:rPr>
        <w:rFonts w:ascii="Courier New" w:hAnsi="Courier New" w:cs="Courier New"/>
      </w:rPr>
    </w:lvl>
    <w:lvl w:ilvl="2">
      <w:numFmt w:val="bullet"/>
      <w:lvlText w:val=""/>
      <w:lvlJc w:val="left"/>
      <w:pPr>
        <w:ind w:left="1820" w:hanging="360"/>
      </w:pPr>
      <w:rPr>
        <w:rFonts w:ascii="Wingdings" w:hAnsi="Wingdings"/>
      </w:rPr>
    </w:lvl>
    <w:lvl w:ilvl="3">
      <w:numFmt w:val="bullet"/>
      <w:lvlText w:val=""/>
      <w:lvlJc w:val="left"/>
      <w:pPr>
        <w:ind w:left="2540" w:hanging="360"/>
      </w:pPr>
      <w:rPr>
        <w:rFonts w:ascii="Symbol" w:hAnsi="Symbol"/>
      </w:rPr>
    </w:lvl>
    <w:lvl w:ilvl="4">
      <w:numFmt w:val="bullet"/>
      <w:lvlText w:val="o"/>
      <w:lvlJc w:val="left"/>
      <w:pPr>
        <w:ind w:left="3260" w:hanging="360"/>
      </w:pPr>
      <w:rPr>
        <w:rFonts w:ascii="Courier New" w:hAnsi="Courier New" w:cs="Courier New"/>
      </w:rPr>
    </w:lvl>
    <w:lvl w:ilvl="5">
      <w:numFmt w:val="bullet"/>
      <w:lvlText w:val=""/>
      <w:lvlJc w:val="left"/>
      <w:pPr>
        <w:ind w:left="3980" w:hanging="360"/>
      </w:pPr>
      <w:rPr>
        <w:rFonts w:ascii="Wingdings" w:hAnsi="Wingdings"/>
      </w:rPr>
    </w:lvl>
    <w:lvl w:ilvl="6">
      <w:numFmt w:val="bullet"/>
      <w:lvlText w:val=""/>
      <w:lvlJc w:val="left"/>
      <w:pPr>
        <w:ind w:left="4700" w:hanging="360"/>
      </w:pPr>
      <w:rPr>
        <w:rFonts w:ascii="Symbol" w:hAnsi="Symbol"/>
      </w:rPr>
    </w:lvl>
    <w:lvl w:ilvl="7">
      <w:numFmt w:val="bullet"/>
      <w:lvlText w:val="o"/>
      <w:lvlJc w:val="left"/>
      <w:pPr>
        <w:ind w:left="5420" w:hanging="360"/>
      </w:pPr>
      <w:rPr>
        <w:rFonts w:ascii="Courier New" w:hAnsi="Courier New" w:cs="Courier New"/>
      </w:rPr>
    </w:lvl>
    <w:lvl w:ilvl="8">
      <w:numFmt w:val="bullet"/>
      <w:lvlText w:val=""/>
      <w:lvlJc w:val="left"/>
      <w:pPr>
        <w:ind w:left="6140" w:hanging="360"/>
      </w:pPr>
      <w:rPr>
        <w:rFonts w:ascii="Wingdings" w:hAnsi="Wingdings"/>
      </w:rPr>
    </w:lvl>
  </w:abstractNum>
  <w:abstractNum w:abstractNumId="1">
    <w:nsid w:val="1D620168"/>
    <w:multiLevelType w:val="multilevel"/>
    <w:tmpl w:val="668C7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445214"/>
    <w:multiLevelType w:val="multilevel"/>
    <w:tmpl w:val="3E00EA6A"/>
    <w:lvl w:ilvl="0">
      <w:start w:val="1"/>
      <w:numFmt w:val="decimal"/>
      <w:lvlText w:val="%1."/>
      <w:lvlJc w:val="left"/>
      <w:pPr>
        <w:ind w:left="644"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364835CD"/>
    <w:multiLevelType w:val="multilevel"/>
    <w:tmpl w:val="50FE86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90571"/>
    <w:rsid w:val="00051031"/>
    <w:rsid w:val="00090571"/>
    <w:rsid w:val="002A3E7B"/>
    <w:rsid w:val="00851FB1"/>
    <w:rsid w:val="008E2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0571"/>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090571"/>
    <w:rPr>
      <w:rFonts w:ascii="Arial" w:eastAsia="Arial" w:hAnsi="Arial" w:cs="Arial"/>
      <w:sz w:val="41"/>
      <w:szCs w:val="41"/>
      <w:shd w:val="clear" w:color="auto" w:fill="FFFFFF"/>
    </w:rPr>
  </w:style>
  <w:style w:type="character" w:customStyle="1" w:styleId="Bodytext3">
    <w:name w:val="Body text (3)_"/>
    <w:basedOn w:val="DefaultParagraphFont"/>
    <w:rsid w:val="00090571"/>
    <w:rPr>
      <w:rFonts w:ascii="Arial" w:eastAsia="Arial" w:hAnsi="Arial" w:cs="Arial"/>
      <w:sz w:val="44"/>
      <w:szCs w:val="44"/>
      <w:shd w:val="clear" w:color="auto" w:fill="FFFFFF"/>
    </w:rPr>
  </w:style>
  <w:style w:type="character" w:customStyle="1" w:styleId="Bodytext4">
    <w:name w:val="Body text (4)_"/>
    <w:basedOn w:val="DefaultParagraphFont"/>
    <w:rsid w:val="00090571"/>
    <w:rPr>
      <w:rFonts w:ascii="Arial" w:eastAsia="Arial" w:hAnsi="Arial" w:cs="Arial"/>
      <w:spacing w:val="10"/>
      <w:sz w:val="53"/>
      <w:szCs w:val="53"/>
      <w:shd w:val="clear" w:color="auto" w:fill="FFFFFF"/>
    </w:rPr>
  </w:style>
  <w:style w:type="character" w:customStyle="1" w:styleId="Bodytext5">
    <w:name w:val="Body text (5)_"/>
    <w:basedOn w:val="DefaultParagraphFont"/>
    <w:rsid w:val="00090571"/>
    <w:rPr>
      <w:rFonts w:ascii="Arial" w:eastAsia="Arial" w:hAnsi="Arial" w:cs="Arial"/>
      <w:spacing w:val="10"/>
      <w:sz w:val="33"/>
      <w:szCs w:val="33"/>
      <w:shd w:val="clear" w:color="auto" w:fill="FFFFFF"/>
    </w:rPr>
  </w:style>
  <w:style w:type="paragraph" w:customStyle="1" w:styleId="Bodytext20">
    <w:name w:val="Body text (2)"/>
    <w:basedOn w:val="Normal"/>
    <w:rsid w:val="00090571"/>
    <w:pPr>
      <w:shd w:val="clear" w:color="auto" w:fill="FFFFFF"/>
      <w:spacing w:after="60" w:line="0" w:lineRule="atLeast"/>
    </w:pPr>
    <w:rPr>
      <w:rFonts w:ascii="Arial" w:eastAsia="Arial" w:hAnsi="Arial" w:cs="Arial"/>
      <w:sz w:val="41"/>
      <w:szCs w:val="41"/>
    </w:rPr>
  </w:style>
  <w:style w:type="paragraph" w:customStyle="1" w:styleId="Bodytext30">
    <w:name w:val="Body text (3)"/>
    <w:basedOn w:val="Normal"/>
    <w:rsid w:val="00090571"/>
    <w:pPr>
      <w:shd w:val="clear" w:color="auto" w:fill="FFFFFF"/>
      <w:spacing w:before="60" w:after="1260" w:line="0" w:lineRule="atLeast"/>
    </w:pPr>
    <w:rPr>
      <w:rFonts w:ascii="Arial" w:eastAsia="Arial" w:hAnsi="Arial" w:cs="Arial"/>
      <w:sz w:val="44"/>
      <w:szCs w:val="44"/>
    </w:rPr>
  </w:style>
  <w:style w:type="paragraph" w:customStyle="1" w:styleId="Bodytext40">
    <w:name w:val="Body text (4)"/>
    <w:basedOn w:val="Normal"/>
    <w:rsid w:val="00090571"/>
    <w:pPr>
      <w:shd w:val="clear" w:color="auto" w:fill="FFFFFF"/>
      <w:spacing w:before="1260" w:after="0" w:line="672" w:lineRule="exact"/>
    </w:pPr>
    <w:rPr>
      <w:rFonts w:ascii="Arial" w:eastAsia="Arial" w:hAnsi="Arial" w:cs="Arial"/>
      <w:spacing w:val="10"/>
      <w:sz w:val="53"/>
      <w:szCs w:val="53"/>
    </w:rPr>
  </w:style>
  <w:style w:type="paragraph" w:customStyle="1" w:styleId="Bodytext50">
    <w:name w:val="Body text (5)"/>
    <w:basedOn w:val="Normal"/>
    <w:rsid w:val="00090571"/>
    <w:pPr>
      <w:shd w:val="clear" w:color="auto" w:fill="FFFFFF"/>
      <w:spacing w:after="540" w:line="0" w:lineRule="atLeast"/>
    </w:pPr>
    <w:rPr>
      <w:rFonts w:ascii="Arial" w:eastAsia="Arial" w:hAnsi="Arial" w:cs="Arial"/>
      <w:spacing w:val="10"/>
      <w:sz w:val="33"/>
      <w:szCs w:val="33"/>
    </w:rPr>
  </w:style>
  <w:style w:type="character" w:customStyle="1" w:styleId="Bodytext6">
    <w:name w:val="Body text (6)_"/>
    <w:basedOn w:val="DefaultParagraphFont"/>
    <w:rsid w:val="00090571"/>
    <w:rPr>
      <w:rFonts w:ascii="Arial" w:eastAsia="Arial" w:hAnsi="Arial" w:cs="Arial"/>
      <w:sz w:val="14"/>
      <w:szCs w:val="14"/>
      <w:shd w:val="clear" w:color="auto" w:fill="FFFFFF"/>
    </w:rPr>
  </w:style>
  <w:style w:type="character" w:customStyle="1" w:styleId="Bodytext7">
    <w:name w:val="Body text (7)_"/>
    <w:basedOn w:val="DefaultParagraphFont"/>
    <w:rsid w:val="00090571"/>
    <w:rPr>
      <w:rFonts w:ascii="Arial" w:eastAsia="Arial" w:hAnsi="Arial" w:cs="Arial"/>
      <w:sz w:val="14"/>
      <w:szCs w:val="14"/>
      <w:shd w:val="clear" w:color="auto" w:fill="FFFFFF"/>
    </w:rPr>
  </w:style>
  <w:style w:type="paragraph" w:customStyle="1" w:styleId="Bodytext60">
    <w:name w:val="Body text (6)"/>
    <w:basedOn w:val="Normal"/>
    <w:rsid w:val="00090571"/>
    <w:pPr>
      <w:shd w:val="clear" w:color="auto" w:fill="FFFFFF"/>
      <w:spacing w:after="180" w:line="0" w:lineRule="atLeast"/>
      <w:jc w:val="both"/>
    </w:pPr>
    <w:rPr>
      <w:rFonts w:ascii="Arial" w:eastAsia="Arial" w:hAnsi="Arial" w:cs="Arial"/>
      <w:sz w:val="14"/>
      <w:szCs w:val="14"/>
    </w:rPr>
  </w:style>
  <w:style w:type="paragraph" w:customStyle="1" w:styleId="Bodytext70">
    <w:name w:val="Body text (7)"/>
    <w:basedOn w:val="Normal"/>
    <w:rsid w:val="00090571"/>
    <w:pPr>
      <w:shd w:val="clear" w:color="auto" w:fill="FFFFFF"/>
      <w:spacing w:before="180" w:after="180" w:line="192" w:lineRule="exact"/>
      <w:jc w:val="both"/>
    </w:pPr>
    <w:rPr>
      <w:rFonts w:ascii="Arial" w:eastAsia="Arial" w:hAnsi="Arial" w:cs="Arial"/>
      <w:sz w:val="14"/>
      <w:szCs w:val="14"/>
    </w:rPr>
  </w:style>
  <w:style w:type="character" w:customStyle="1" w:styleId="Bodytext">
    <w:name w:val="Body text_"/>
    <w:basedOn w:val="DefaultParagraphFont"/>
    <w:rsid w:val="00090571"/>
    <w:rPr>
      <w:rFonts w:ascii="Arial" w:eastAsia="Arial" w:hAnsi="Arial" w:cs="Arial"/>
      <w:sz w:val="20"/>
      <w:szCs w:val="20"/>
      <w:shd w:val="clear" w:color="auto" w:fill="FFFFFF"/>
    </w:rPr>
  </w:style>
  <w:style w:type="paragraph" w:customStyle="1" w:styleId="BodyText9">
    <w:name w:val="Body Text9"/>
    <w:basedOn w:val="Normal"/>
    <w:rsid w:val="00090571"/>
    <w:pPr>
      <w:shd w:val="clear" w:color="auto" w:fill="FFFFFF"/>
      <w:spacing w:after="0" w:line="0" w:lineRule="atLeast"/>
    </w:pPr>
    <w:rPr>
      <w:rFonts w:ascii="Arial" w:eastAsia="Arial" w:hAnsi="Arial" w:cs="Arial"/>
      <w:sz w:val="20"/>
      <w:szCs w:val="20"/>
    </w:rPr>
  </w:style>
  <w:style w:type="paragraph" w:customStyle="1" w:styleId="ydpffe3f7b2bodytext9">
    <w:name w:val="ydpffe3f7b2bodytext9"/>
    <w:basedOn w:val="Normal"/>
    <w:rsid w:val="00090571"/>
    <w:pPr>
      <w:spacing w:before="100" w:after="100" w:line="240" w:lineRule="auto"/>
    </w:pPr>
    <w:rPr>
      <w:rFonts w:ascii="Times New Roman" w:eastAsia="Times New Roman" w:hAnsi="Times New Roman"/>
      <w:sz w:val="24"/>
      <w:szCs w:val="24"/>
    </w:rPr>
  </w:style>
  <w:style w:type="character" w:styleId="Hyperlink">
    <w:name w:val="Hyperlink"/>
    <w:basedOn w:val="DefaultParagraphFont"/>
    <w:rsid w:val="00090571"/>
    <w:rPr>
      <w:color w:val="0066CC"/>
      <w:u w:val="single"/>
    </w:rPr>
  </w:style>
  <w:style w:type="paragraph" w:styleId="FootnoteText">
    <w:name w:val="footnote text"/>
    <w:basedOn w:val="Normal"/>
    <w:rsid w:val="00090571"/>
    <w:pPr>
      <w:spacing w:after="0" w:line="240" w:lineRule="auto"/>
    </w:pPr>
    <w:rPr>
      <w:rFonts w:ascii="Microsoft Sans Serif" w:eastAsia="Microsoft Sans Serif" w:hAnsi="Microsoft Sans Serif" w:cs="Microsoft Sans Serif"/>
      <w:color w:val="000000"/>
      <w:sz w:val="20"/>
      <w:szCs w:val="20"/>
      <w:lang w:val="en-US" w:eastAsia="en-US"/>
    </w:rPr>
  </w:style>
  <w:style w:type="character" w:customStyle="1" w:styleId="FootnoteTextChar">
    <w:name w:val="Footnote Text Char"/>
    <w:basedOn w:val="DefaultParagraphFont"/>
    <w:rsid w:val="00090571"/>
    <w:rPr>
      <w:rFonts w:ascii="Microsoft Sans Serif" w:eastAsia="Microsoft Sans Serif" w:hAnsi="Microsoft Sans Serif" w:cs="Microsoft Sans Serif"/>
      <w:color w:val="000000"/>
      <w:sz w:val="20"/>
      <w:szCs w:val="20"/>
      <w:lang w:val="en-US" w:eastAsia="en-US"/>
    </w:rPr>
  </w:style>
  <w:style w:type="character" w:styleId="FootnoteReference">
    <w:name w:val="footnote reference"/>
    <w:basedOn w:val="DefaultParagraphFont"/>
    <w:rsid w:val="00090571"/>
    <w:rPr>
      <w:position w:val="0"/>
      <w:vertAlign w:val="superscript"/>
    </w:rPr>
  </w:style>
  <w:style w:type="character" w:customStyle="1" w:styleId="Footnote">
    <w:name w:val="Footnote"/>
    <w:basedOn w:val="DefaultParagraphFont"/>
    <w:rsid w:val="00090571"/>
    <w:rPr>
      <w:rFonts w:ascii="Arial" w:eastAsia="Arial" w:hAnsi="Arial" w:cs="Arial"/>
      <w:b w:val="0"/>
      <w:bCs w:val="0"/>
      <w:i w:val="0"/>
      <w:iCs w:val="0"/>
      <w:strike w:val="0"/>
      <w:dstrike w:val="0"/>
      <w:spacing w:val="0"/>
      <w:sz w:val="14"/>
      <w:szCs w:val="14"/>
      <w:u w:val="single"/>
    </w:rPr>
  </w:style>
  <w:style w:type="character" w:customStyle="1" w:styleId="Heading7">
    <w:name w:val="Heading #7_"/>
    <w:basedOn w:val="DefaultParagraphFont"/>
    <w:rsid w:val="00090571"/>
    <w:rPr>
      <w:rFonts w:ascii="Arial" w:eastAsia="Arial" w:hAnsi="Arial" w:cs="Arial"/>
      <w:b w:val="0"/>
      <w:bCs w:val="0"/>
      <w:i w:val="0"/>
      <w:iCs w:val="0"/>
      <w:strike w:val="0"/>
      <w:dstrike w:val="0"/>
      <w:spacing w:val="0"/>
      <w:sz w:val="26"/>
      <w:szCs w:val="26"/>
    </w:rPr>
  </w:style>
  <w:style w:type="character" w:customStyle="1" w:styleId="Heading70">
    <w:name w:val="Heading #7"/>
    <w:basedOn w:val="Heading7"/>
    <w:rsid w:val="00090571"/>
    <w:rPr>
      <w:rFonts w:ascii="Arial" w:eastAsia="Arial" w:hAnsi="Arial" w:cs="Arial"/>
      <w:b w:val="0"/>
      <w:bCs w:val="0"/>
      <w:i w:val="0"/>
      <w:iCs w:val="0"/>
      <w:strike w:val="0"/>
      <w:dstrike w:val="0"/>
      <w:color w:val="FFFFFF"/>
      <w:spacing w:val="0"/>
      <w:sz w:val="26"/>
      <w:szCs w:val="26"/>
    </w:rPr>
  </w:style>
  <w:style w:type="paragraph" w:styleId="ListParagraph">
    <w:name w:val="List Paragraph"/>
    <w:basedOn w:val="Normal"/>
    <w:rsid w:val="00090571"/>
    <w:pPr>
      <w:ind w:left="720"/>
    </w:pPr>
  </w:style>
  <w:style w:type="character" w:customStyle="1" w:styleId="Bodytext17">
    <w:name w:val="Body text (17)_"/>
    <w:basedOn w:val="DefaultParagraphFont"/>
    <w:rsid w:val="00090571"/>
    <w:rPr>
      <w:rFonts w:ascii="Arial" w:eastAsia="Arial" w:hAnsi="Arial" w:cs="Arial"/>
      <w:sz w:val="20"/>
      <w:szCs w:val="20"/>
      <w:shd w:val="clear" w:color="auto" w:fill="FFFFFF"/>
    </w:rPr>
  </w:style>
  <w:style w:type="paragraph" w:customStyle="1" w:styleId="Bodytext170">
    <w:name w:val="Body text (17)"/>
    <w:basedOn w:val="Normal"/>
    <w:rsid w:val="00090571"/>
    <w:pPr>
      <w:shd w:val="clear" w:color="auto" w:fill="FFFFFF"/>
      <w:spacing w:after="240" w:line="264" w:lineRule="exact"/>
      <w:jc w:val="both"/>
    </w:pPr>
    <w:rPr>
      <w:rFonts w:ascii="Arial" w:eastAsia="Arial" w:hAnsi="Arial" w:cs="Arial"/>
      <w:sz w:val="20"/>
      <w:szCs w:val="20"/>
    </w:rPr>
  </w:style>
  <w:style w:type="character" w:customStyle="1" w:styleId="Footnote0">
    <w:name w:val="Footnote_"/>
    <w:basedOn w:val="DefaultParagraphFont"/>
    <w:rsid w:val="00090571"/>
    <w:rPr>
      <w:rFonts w:ascii="Arial" w:eastAsia="Arial" w:hAnsi="Arial" w:cs="Arial"/>
      <w:b w:val="0"/>
      <w:bCs w:val="0"/>
      <w:i w:val="0"/>
      <w:iCs w:val="0"/>
      <w:strike w:val="0"/>
      <w:dstrike w:val="0"/>
      <w:spacing w:val="0"/>
      <w:sz w:val="14"/>
      <w:szCs w:val="14"/>
    </w:rPr>
  </w:style>
  <w:style w:type="character" w:customStyle="1" w:styleId="Headerorfooter">
    <w:name w:val="Header or footer_"/>
    <w:basedOn w:val="DefaultParagraphFont"/>
    <w:rsid w:val="00090571"/>
    <w:rPr>
      <w:rFonts w:ascii="Times New Roman" w:eastAsia="Times New Roman" w:hAnsi="Times New Roman" w:cs="Times New Roman"/>
      <w:sz w:val="20"/>
      <w:szCs w:val="20"/>
      <w:shd w:val="clear" w:color="auto" w:fill="FFFFFF"/>
    </w:rPr>
  </w:style>
  <w:style w:type="character" w:customStyle="1" w:styleId="HeaderorfooterArial">
    <w:name w:val="Header or footer + Arial"/>
    <w:basedOn w:val="Headerorfooter"/>
    <w:rsid w:val="00090571"/>
    <w:rPr>
      <w:rFonts w:ascii="Arial" w:eastAsia="Arial" w:hAnsi="Arial" w:cs="Arial"/>
      <w:spacing w:val="0"/>
      <w:sz w:val="13"/>
      <w:szCs w:val="13"/>
      <w:shd w:val="clear" w:color="auto" w:fill="FFFFFF"/>
    </w:rPr>
  </w:style>
  <w:style w:type="paragraph" w:customStyle="1" w:styleId="Headerorfooter0">
    <w:name w:val="Header or footer"/>
    <w:basedOn w:val="Normal"/>
    <w:rsid w:val="00090571"/>
    <w:pPr>
      <w:shd w:val="clear" w:color="auto" w:fill="FFFFFF"/>
      <w:spacing w:after="0" w:line="240" w:lineRule="auto"/>
    </w:pPr>
    <w:rPr>
      <w:rFonts w:ascii="Times New Roman" w:eastAsia="Times New Roman" w:hAnsi="Times New Roman"/>
      <w:sz w:val="20"/>
      <w:szCs w:val="20"/>
    </w:rPr>
  </w:style>
  <w:style w:type="paragraph" w:styleId="Header">
    <w:name w:val="header"/>
    <w:basedOn w:val="Normal"/>
    <w:rsid w:val="00090571"/>
    <w:pPr>
      <w:tabs>
        <w:tab w:val="center" w:pos="4513"/>
        <w:tab w:val="right" w:pos="9026"/>
      </w:tabs>
      <w:spacing w:after="0" w:line="240" w:lineRule="auto"/>
    </w:pPr>
  </w:style>
  <w:style w:type="character" w:customStyle="1" w:styleId="HeaderChar">
    <w:name w:val="Header Char"/>
    <w:basedOn w:val="DefaultParagraphFont"/>
    <w:rsid w:val="00090571"/>
  </w:style>
  <w:style w:type="paragraph" w:styleId="Footer">
    <w:name w:val="footer"/>
    <w:basedOn w:val="Normal"/>
    <w:rsid w:val="00090571"/>
    <w:pPr>
      <w:tabs>
        <w:tab w:val="center" w:pos="4513"/>
        <w:tab w:val="right" w:pos="9026"/>
      </w:tabs>
      <w:spacing w:after="0" w:line="240" w:lineRule="auto"/>
    </w:pPr>
  </w:style>
  <w:style w:type="character" w:customStyle="1" w:styleId="FooterChar">
    <w:name w:val="Footer Char"/>
    <w:basedOn w:val="DefaultParagraphFont"/>
    <w:rsid w:val="000905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iris-special-2021-01en-dsa-package/1680a43e45" TargetMode="External"/><Relationship Id="rId13" Type="http://schemas.openxmlformats.org/officeDocument/2006/relationships/hyperlink" Target="https://blogs.lse.ac.uk/medialse/2021/03/30/facing-the-challenge-of-online-hate-the-avmsd-and-the-role-of-regulation/" TargetMode="External"/><Relationship Id="rId18" Type="http://schemas.openxmlformats.org/officeDocument/2006/relationships/hyperlink" Target="https://ec.europa.eu/commission/presscorner/detail/en/IP_20_1134" TargetMode="External"/><Relationship Id="rId26" Type="http://schemas.openxmlformats.org/officeDocument/2006/relationships/hyperlink" Target="https://ec.europa.eu/commission/presscorner/detail/en/IP_21_4945" TargetMode="External"/><Relationship Id="rId39" Type="http://schemas.openxmlformats.org/officeDocument/2006/relationships/hyperlink" Target="https://perma.cc/9W8E-GSWM" TargetMode="External"/><Relationship Id="rId3" Type="http://schemas.openxmlformats.org/officeDocument/2006/relationships/hyperlink" Target="https://eur-lex.europa.eu/legal-content/EN/TXT/HTML/?uri=CELEX:32008F0913&amp;from=en" TargetMode="External"/><Relationship Id="rId21" Type="http://schemas.openxmlformats.org/officeDocument/2006/relationships/hyperlink" Target="https://ec.europa.eu/info/sites/default/files/factsheet-6th-monitoring-round-of-the-code-of-conduct_october2021_en_1.pdf" TargetMode="External"/><Relationship Id="rId34" Type="http://schemas.openxmlformats.org/officeDocument/2006/relationships/hyperlink" Target="https://digital-strategy.ec.europa.eu/en/policies/european-digital-media-observatory" TargetMode="External"/><Relationship Id="rId42" Type="http://schemas.openxmlformats.org/officeDocument/2006/relationships/hyperlink" Target="https://inforrm.org/2021/04/24/germany-new-law-against-right-wing-extremism-and-hate-crime-judit-bayer/" TargetMode="External"/><Relationship Id="rId7" Type="http://schemas.openxmlformats.org/officeDocument/2006/relationships/hyperlink" Target="https://www.accessnow.org/cms/assets/uploads/2021/10/Digital_Services_Act_Human_Rights_Alliance_Statement.pdf" TargetMode="External"/><Relationship Id="rId12" Type="http://schemas.openxmlformats.org/officeDocument/2006/relationships/hyperlink" Target="https://blogs.lse.ac.uk/medialse/2020/02/25/regulating-content-moderation-in-europe-beyond-the-avmsd/" TargetMode="External"/><Relationship Id="rId17" Type="http://schemas.openxmlformats.org/officeDocument/2006/relationships/hyperlink" Target="https://ec.europa.eu/info/sites/default/files/factsheet-6th-monitoring-round-of-the-code-of-conduct_october2021_en_1.pdf" TargetMode="External"/><Relationship Id="rId25" Type="http://schemas.openxmlformats.org/officeDocument/2006/relationships/hyperlink" Target="https://ec.europa.eu/commission/presscorner/detail/en/ip_20_1568" TargetMode="External"/><Relationship Id="rId33" Type="http://schemas.openxmlformats.org/officeDocument/2006/relationships/hyperlink" Target="https://digital-strategy.ec.europa.eu/en/library/action-plan-against-disinformation" TargetMode="External"/><Relationship Id="rId38" Type="http://schemas.openxmlformats.org/officeDocument/2006/relationships/hyperlink" Target="https://techcrunch.com/2020/06/19/germany-tightens-online-hate-speech-rules-to-make-platforms-send-reports-straight-to-the-feds/" TargetMode="External"/><Relationship Id="rId46" Type="http://schemas.openxmlformats.org/officeDocument/2006/relationships/hyperlink" Target="https://www.spletno-oko.si/sites/default/files/kodeks_oblikovan_0.pdf" TargetMode="External"/><Relationship Id="rId2" Type="http://schemas.openxmlformats.org/officeDocument/2006/relationships/hyperlink" Target="https://eur-lex.europa.eu/legal-content/EN/TXT/HTML/?uri=CELEX:32000L0031&amp;from=EN)" TargetMode="External"/><Relationship Id="rId16" Type="http://schemas.openxmlformats.org/officeDocument/2006/relationships/hyperlink" Target="https://ec.europa.eu/commission/presscorner/detail/en/qanda_20_1135" TargetMode="External"/><Relationship Id="rId20" Type="http://schemas.openxmlformats.org/officeDocument/2006/relationships/hyperlink" Target="https://www.euractiv.com/section/digital/news/progress-stalls-on-commissions-online-hate-speech-efforts/" TargetMode="External"/><Relationship Id="rId29" Type="http://schemas.openxmlformats.org/officeDocument/2006/relationships/hyperlink" Target="https://ec.europa.eu/commission/presscorner/detail/en/IP_21_4945" TargetMode="External"/><Relationship Id="rId41" Type="http://schemas.openxmlformats.org/officeDocument/2006/relationships/hyperlink" Target="https://inforrm.org/2021/04/24/germany-new-law-against-right-wing-extremism-and-hate-crime-judit-bayer/" TargetMode="External"/><Relationship Id="rId1" Type="http://schemas.openxmlformats.org/officeDocument/2006/relationships/hyperlink" Target="https://seenpm.org/resilience-research/" TargetMode="External"/><Relationship Id="rId6" Type="http://schemas.openxmlformats.org/officeDocument/2006/relationships/hyperlink" Target="https://edri.org/our-work/eu-attempt-to-regulate-big-tech/" TargetMode="External"/><Relationship Id="rId11" Type="http://schemas.openxmlformats.org/officeDocument/2006/relationships/hyperlink" Target="https://eur-lex.europa.eu/legal-content/EN/TXT/HTML/?uri=CELEX:32010L0013&amp;from=EN" TargetMode="External"/><Relationship Id="rId24" Type="http://schemas.openxmlformats.org/officeDocument/2006/relationships/hyperlink" Target="https://ec.europa.eu/commission/presscorner/detail/en/IP_21_4945" TargetMode="External"/><Relationship Id="rId32" Type="http://schemas.openxmlformats.org/officeDocument/2006/relationships/hyperlink" Target="https://www.euractiv.com/section/digital/news/commission-pushes-for-timely-update-of-disinformation-code-of-practice/" TargetMode="External"/><Relationship Id="rId37" Type="http://schemas.openxmlformats.org/officeDocument/2006/relationships/hyperlink" Target="https://www.hrw.org/news/2018/02/14/germany-flawed-social-media-law" TargetMode="External"/><Relationship Id="rId40" Type="http://schemas.openxmlformats.org/officeDocument/2006/relationships/hyperlink" Target="https://www.loc.gov/item/global-legal-monitor/2021-07-06/germany-network-enforcement-act-amended-to-better-fight-online-hate-speech/" TargetMode="External"/><Relationship Id="rId45" Type="http://schemas.openxmlformats.org/officeDocument/2006/relationships/hyperlink" Target="https://edri.org/our-work/first-analysis-of-the-austrian-anti-hate-speech-law-netdg-koplg/" TargetMode="External"/><Relationship Id="rId5" Type="http://schemas.openxmlformats.org/officeDocument/2006/relationships/hyperlink" Target="https://www.allenovery.com/en-gb/global/news-and-insights/publications/the-digital-services-act-package-is-here" TargetMode="External"/><Relationship Id="rId15" Type="http://schemas.openxmlformats.org/officeDocument/2006/relationships/hyperlink" Target="https://drive.google.com/file/d/0B07ejuhu6mZ5Zk5aUGJyTmt5OWM/view?resourcekey=0-1S2CLG5-68jk_2xCDkUkcQ" TargetMode="External"/><Relationship Id="rId23" Type="http://schemas.openxmlformats.org/officeDocument/2006/relationships/hyperlink" Target="https://digital-strategy.ec.europa.eu/en/policies/code-practice-disinformation" TargetMode="External"/><Relationship Id="rId28" Type="http://schemas.openxmlformats.org/officeDocument/2006/relationships/hyperlink" Target="https://digital-strategy.ec.europa.eu/en/library/first-baseline-reports-fighting-covid-19-disinformation-monitoring-programme" TargetMode="External"/><Relationship Id="rId36" Type="http://schemas.openxmlformats.org/officeDocument/2006/relationships/hyperlink" Target="https://www.bmjv.de/SharedDocs/FAQ/EN/NetzDG/NetzDG.html" TargetMode="External"/><Relationship Id="rId10" Type="http://schemas.openxmlformats.org/officeDocument/2006/relationships/hyperlink" Target="https://www.disinfo.eu/advocacy/fact-checkers-and-experts-call-on-meps-to-reject-a-media-exemption-in-the-dsa/" TargetMode="External"/><Relationship Id="rId19" Type="http://schemas.openxmlformats.org/officeDocument/2006/relationships/hyperlink" Target="https://www.ivir.nl/publicaties/download/Bukovska.pdf" TargetMode="External"/><Relationship Id="rId31" Type="http://schemas.openxmlformats.org/officeDocument/2006/relationships/hyperlink" Target="https://www.disinfo.eu/publications/the-good-the-bad-and-the-ugly-how-platforms-are-prioritising-some-eu-member-states-in-their-covid-19-disinformation-responses/" TargetMode="External"/><Relationship Id="rId44" Type="http://schemas.openxmlformats.org/officeDocument/2006/relationships/hyperlink" Target="https://www.cms-lawnow.com/ealerts/2021/03/au-test?cc_lang=en" TargetMode="External"/><Relationship Id="rId4" Type="http://schemas.openxmlformats.org/officeDocument/2006/relationships/hyperlink" Target="https://en.wikipedia.org/wiki/Digital_Services_Act" TargetMode="External"/><Relationship Id="rId9" Type="http://schemas.openxmlformats.org/officeDocument/2006/relationships/hyperlink" Target="https://www.euractiv.com/section/digital/opinion/digital-services-act-a-media-exemption-would-open-a-loophole-for-disinformation/" TargetMode="External"/><Relationship Id="rId14" Type="http://schemas.openxmlformats.org/officeDocument/2006/relationships/hyperlink" Target="https://www.ofcom.org.uk/__data/assets/pdf_file/0022/216490/alan-turing-institute-report-understandi" TargetMode="External"/><Relationship Id="rId22" Type="http://schemas.openxmlformats.org/officeDocument/2006/relationships/hyperlink" Target="https://ec.europa.eu/commission/presscorner/detail/en/IP_20_1134" TargetMode="External"/><Relationship Id="rId27" Type="http://schemas.openxmlformats.org/officeDocument/2006/relationships/hyperlink" Target="https://digital-strategy.ec.europa.eu/en/library/assessment-code-practice-disinformation-achievements-and-areas-further-improvement" TargetMode="External"/><Relationship Id="rId30" Type="http://schemas.openxmlformats.org/officeDocument/2006/relationships/hyperlink" Target="https://digital-strategy.ec.europa.eu/en/policies/code-practice-disinformation" TargetMode="External"/><Relationship Id="rId35" Type="http://schemas.openxmlformats.org/officeDocument/2006/relationships/hyperlink" Target="https://edmo.eu/" TargetMode="External"/><Relationship Id="rId43" Type="http://schemas.openxmlformats.org/officeDocument/2006/relationships/hyperlink" Target="https://ec.europa.eu/growth/tools-databases/tris/index.cfm/en/search/?trisaction=search.detail&amp;year=2020&amp;num=544&amp;m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7819</Words>
  <Characters>44571</Characters>
  <Application>Microsoft Office Word</Application>
  <DocSecurity>0</DocSecurity>
  <Lines>371</Lines>
  <Paragraphs>104</Paragraphs>
  <ScaleCrop>false</ScaleCrop>
  <Company/>
  <LinksUpToDate>false</LinksUpToDate>
  <CharactersWithSpaces>52286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Bogdanovic</dc:creator>
  <cp:lastModifiedBy>Vesna Rajkovic</cp:lastModifiedBy>
  <cp:revision>2</cp:revision>
  <dcterms:created xsi:type="dcterms:W3CDTF">2022-02-15T21:23:00Z</dcterms:created>
  <dcterms:modified xsi:type="dcterms:W3CDTF">2022-02-15T21:23:00Z</dcterms:modified>
</cp:coreProperties>
</file>